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B252" w14:textId="41948B7A" w:rsidR="0053567B" w:rsidRPr="0053567B" w:rsidRDefault="00FB7BF1" w:rsidP="0053567B">
      <w:pPr>
        <w:pStyle w:val="Titel"/>
        <w:jc w:val="center"/>
        <w:rPr>
          <w:bCs/>
          <w:smallCaps/>
          <w:color w:val="365F91" w:themeColor="accent1" w:themeShade="BF"/>
          <w:sz w:val="32"/>
          <w:szCs w:val="32"/>
        </w:rPr>
      </w:pPr>
      <w:r>
        <w:rPr>
          <w:rStyle w:val="Buchtitel"/>
          <w:b w:val="0"/>
          <w:color w:val="365F91" w:themeColor="accent1" w:themeShade="BF"/>
          <w:sz w:val="32"/>
          <w:szCs w:val="32"/>
        </w:rPr>
        <w:t>Kostenbeteiligungsordnung</w:t>
      </w:r>
      <w:r w:rsidR="00180A17">
        <w:rPr>
          <w:rStyle w:val="Buchtitel"/>
          <w:b w:val="0"/>
          <w:color w:val="365F91" w:themeColor="accent1" w:themeShade="BF"/>
          <w:sz w:val="32"/>
          <w:szCs w:val="32"/>
        </w:rPr>
        <w:t xml:space="preserve"> </w:t>
      </w:r>
      <w:r w:rsidR="006554EE" w:rsidRPr="00884615">
        <w:rPr>
          <w:rStyle w:val="Buchtitel"/>
          <w:b w:val="0"/>
          <w:color w:val="365F91" w:themeColor="accent1" w:themeShade="BF"/>
          <w:sz w:val="32"/>
          <w:szCs w:val="32"/>
        </w:rPr>
        <w:t>20</w:t>
      </w:r>
      <w:r w:rsidR="003C23D9">
        <w:rPr>
          <w:rStyle w:val="Buchtitel"/>
          <w:b w:val="0"/>
          <w:color w:val="365F91" w:themeColor="accent1" w:themeShade="BF"/>
          <w:sz w:val="32"/>
          <w:szCs w:val="32"/>
        </w:rPr>
        <w:t>2</w:t>
      </w:r>
      <w:r>
        <w:rPr>
          <w:rStyle w:val="Buchtitel"/>
          <w:b w:val="0"/>
          <w:color w:val="365F91" w:themeColor="accent1" w:themeShade="BF"/>
          <w:sz w:val="32"/>
          <w:szCs w:val="32"/>
        </w:rPr>
        <w:t>1</w:t>
      </w:r>
    </w:p>
    <w:p w14:paraId="7DEF282C" w14:textId="26D3A078" w:rsidR="00FB7BF1" w:rsidRPr="00FB7BF1"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FB7BF1">
        <w:rPr>
          <w:rFonts w:ascii="Arial Black" w:hAnsi="Arial Black" w:cs="Arial"/>
          <w:bCs/>
          <w:kern w:val="10"/>
          <w:sz w:val="24"/>
          <w:szCs w:val="32"/>
          <w:lang w:val="de-CH" w:eastAsia="de-CH"/>
        </w:rPr>
        <w:t>Gesetzliche Grundlagen und Gültigkeit</w:t>
      </w:r>
    </w:p>
    <w:p w14:paraId="5AE51ED6" w14:textId="0B8C3065"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Diese Kostenbeteiligungsordnung basiert auf §§ 27 Abs. 2, 33 SEG </w:t>
      </w:r>
      <w:proofErr w:type="spellStart"/>
      <w:r w:rsidRPr="00FB7BF1">
        <w:rPr>
          <w:rFonts w:ascii="Arial" w:hAnsi="Arial"/>
          <w:kern w:val="10"/>
          <w:sz w:val="22"/>
          <w:szCs w:val="22"/>
          <w:lang w:val="de-CH" w:eastAsia="de-CH"/>
        </w:rPr>
        <w:t>i.V.m</w:t>
      </w:r>
      <w:proofErr w:type="spellEnd"/>
      <w:r w:rsidRPr="00FB7BF1">
        <w:rPr>
          <w:rFonts w:ascii="Arial" w:hAnsi="Arial"/>
          <w:kern w:val="10"/>
          <w:sz w:val="22"/>
          <w:szCs w:val="22"/>
          <w:lang w:val="de-CH" w:eastAsia="de-CH"/>
        </w:rPr>
        <w:t xml:space="preserve">. §§ 30, 35ff. SEV. Die Kostenbeteiligungsordnung wurde von der DISG gemäss § 30 Abs. 2 SEV genehmigt und gilt ab </w:t>
      </w:r>
      <w:r w:rsidRPr="00FB7BF1">
        <w:rPr>
          <w:rFonts w:ascii="Arial" w:hAnsi="Arial" w:cs="Arial"/>
          <w:kern w:val="10"/>
          <w:sz w:val="22"/>
          <w:szCs w:val="22"/>
          <w:lang w:val="de-CH" w:eastAsia="de-CH"/>
        </w:rPr>
        <w:t xml:space="preserve">01. </w:t>
      </w:r>
      <w:r>
        <w:rPr>
          <w:rFonts w:ascii="Arial" w:hAnsi="Arial" w:cs="Arial"/>
          <w:kern w:val="10"/>
          <w:sz w:val="22"/>
          <w:szCs w:val="22"/>
          <w:lang w:val="de-CH" w:eastAsia="de-CH"/>
        </w:rPr>
        <w:t>Januar</w:t>
      </w:r>
      <w:r w:rsidRPr="00FB7BF1">
        <w:rPr>
          <w:rFonts w:ascii="Arial" w:hAnsi="Arial" w:cs="Arial"/>
          <w:kern w:val="10"/>
          <w:sz w:val="22"/>
          <w:szCs w:val="22"/>
          <w:lang w:val="de-CH" w:eastAsia="de-CH"/>
        </w:rPr>
        <w:t xml:space="preserve"> 2021</w:t>
      </w:r>
      <w:r w:rsidRPr="00FB7BF1">
        <w:rPr>
          <w:rFonts w:ascii="Arial" w:hAnsi="Arial"/>
          <w:kern w:val="10"/>
          <w:sz w:val="22"/>
          <w:szCs w:val="22"/>
          <w:lang w:val="de-CH" w:eastAsia="de-CH"/>
        </w:rPr>
        <w:t>.</w:t>
      </w:r>
    </w:p>
    <w:p w14:paraId="22DCE584" w14:textId="77777777" w:rsidR="00FB7BF1" w:rsidRPr="00FB7BF1"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FB7BF1">
        <w:rPr>
          <w:rFonts w:ascii="Arial Black" w:hAnsi="Arial Black" w:cs="Arial"/>
          <w:bCs/>
          <w:kern w:val="10"/>
          <w:sz w:val="24"/>
          <w:szCs w:val="32"/>
          <w:lang w:val="de-CH" w:eastAsia="de-CH"/>
        </w:rPr>
        <w:t>Geltungsbereich</w:t>
      </w:r>
    </w:p>
    <w:p w14:paraId="0F5DB067" w14:textId="315DEC08"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Diese Kostenbeteiligungsordnung gilt für</w:t>
      </w:r>
      <w:r>
        <w:rPr>
          <w:rFonts w:ascii="Arial" w:hAnsi="Arial"/>
          <w:kern w:val="10"/>
          <w:sz w:val="22"/>
          <w:szCs w:val="22"/>
          <w:lang w:val="de-CH" w:eastAsia="de-CH"/>
        </w:rPr>
        <w:t xml:space="preserve"> unsere Bewohnenden/Beschäftigten ohne Lohn </w:t>
      </w:r>
      <w:r w:rsidRPr="00FB7BF1">
        <w:rPr>
          <w:rFonts w:ascii="Arial" w:hAnsi="Arial"/>
          <w:kern w:val="10"/>
          <w:sz w:val="22"/>
          <w:szCs w:val="22"/>
          <w:lang w:val="de-CH" w:eastAsia="de-CH"/>
        </w:rPr>
        <w:t>mit einer Kostenübernahmegarantie (</w:t>
      </w:r>
      <w:proofErr w:type="spellStart"/>
      <w:r w:rsidRPr="00FB7BF1">
        <w:rPr>
          <w:rFonts w:ascii="Arial" w:hAnsi="Arial"/>
          <w:kern w:val="10"/>
          <w:sz w:val="22"/>
          <w:szCs w:val="22"/>
          <w:lang w:val="de-CH" w:eastAsia="de-CH"/>
        </w:rPr>
        <w:t>KüG</w:t>
      </w:r>
      <w:proofErr w:type="spellEnd"/>
      <w:r w:rsidRPr="00FB7BF1">
        <w:rPr>
          <w:rFonts w:ascii="Arial" w:hAnsi="Arial"/>
          <w:kern w:val="10"/>
          <w:sz w:val="22"/>
          <w:szCs w:val="22"/>
          <w:lang w:val="de-CH" w:eastAsia="de-CH"/>
        </w:rPr>
        <w:t>) des Kantons Luzern</w:t>
      </w:r>
      <w:r w:rsidR="00D404DB">
        <w:rPr>
          <w:rFonts w:ascii="Arial" w:hAnsi="Arial"/>
          <w:kern w:val="10"/>
          <w:sz w:val="22"/>
          <w:szCs w:val="22"/>
          <w:lang w:val="de-CH" w:eastAsia="de-CH"/>
        </w:rPr>
        <w:t xml:space="preserve"> in den Angeboten Wohnen, Tagesstruktur ohne Lohn und Gastplatz.</w:t>
      </w:r>
      <w:r w:rsidRPr="00D404DB">
        <w:rPr>
          <w:rFonts w:ascii="Arial" w:hAnsi="Arial"/>
          <w:kern w:val="10"/>
          <w:sz w:val="22"/>
          <w:szCs w:val="22"/>
          <w:lang w:val="de-CH" w:eastAsia="de-CH"/>
        </w:rPr>
        <w:t xml:space="preserve"> </w:t>
      </w:r>
    </w:p>
    <w:p w14:paraId="184522C8"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Bei ausserkantonalen Personen wird die Kostenbeteiligung vom entsendenden Kanton festgelegt.</w:t>
      </w:r>
    </w:p>
    <w:p w14:paraId="2F541173" w14:textId="77777777" w:rsidR="00FB7BF1" w:rsidRPr="00FB7BF1"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FB7BF1">
        <w:rPr>
          <w:rFonts w:ascii="Arial Black" w:hAnsi="Arial Black" w:cs="Arial"/>
          <w:bCs/>
          <w:kern w:val="10"/>
          <w:sz w:val="24"/>
          <w:szCs w:val="32"/>
          <w:lang w:val="de-CH" w:eastAsia="de-CH"/>
        </w:rPr>
        <w:t>Kostenbeteiligung für erwachsene Personen mit Behinderungen: Angebot «Wohnen»</w:t>
      </w:r>
    </w:p>
    <w:p w14:paraId="472E247F" w14:textId="6E2287C4" w:rsidR="00FB7BF1" w:rsidRPr="00FB7BF1" w:rsidRDefault="00FB7BF1" w:rsidP="00FB7BF1">
      <w:pPr>
        <w:pStyle w:val="berschrift2"/>
        <w:numPr>
          <w:ilvl w:val="1"/>
          <w:numId w:val="0"/>
        </w:numPr>
      </w:pPr>
      <w:r>
        <w:t xml:space="preserve">3.1 </w:t>
      </w:r>
      <w:r w:rsidRPr="00FB7BF1">
        <w:t>Abgestufte Kostenbeteiligung nach Hilflosigkeitsgrad</w:t>
      </w:r>
    </w:p>
    <w:p w14:paraId="503AED0F"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Die Kostenbeteiligung gilt ab dem ersten Tag des Monats, der auf die Vollendung des 18. Lebensjahres folgt.</w:t>
      </w:r>
    </w:p>
    <w:p w14:paraId="7FA538E1"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Die Kostenbeteiligung gilt </w:t>
      </w:r>
      <w:r w:rsidRPr="00FB7BF1">
        <w:rPr>
          <w:rFonts w:ascii="Arial" w:hAnsi="Arial"/>
          <w:b/>
          <w:kern w:val="10"/>
          <w:sz w:val="22"/>
          <w:szCs w:val="22"/>
          <w:lang w:val="de-CH" w:eastAsia="de-CH"/>
        </w:rPr>
        <w:t>normalerweise</w:t>
      </w:r>
      <w:r w:rsidRPr="00FB7BF1">
        <w:rPr>
          <w:rFonts w:ascii="Arial" w:hAnsi="Arial"/>
          <w:kern w:val="10"/>
          <w:sz w:val="22"/>
          <w:szCs w:val="22"/>
          <w:lang w:val="de-CH" w:eastAsia="de-CH"/>
        </w:rPr>
        <w:t xml:space="preserve"> pro Monat und Person. 30 Standardtage pro Monat ergeben die folgenden pauschalen, monatlichen Kostenbeteiligungen: </w:t>
      </w:r>
    </w:p>
    <w:p w14:paraId="0084072E" w14:textId="77777777" w:rsidR="00FB7BF1" w:rsidRPr="00FB7BF1" w:rsidRDefault="00FB7BF1" w:rsidP="00FB7BF1">
      <w:pPr>
        <w:rPr>
          <w:rFonts w:ascii="Arial" w:hAnsi="Arial"/>
          <w:kern w:val="10"/>
          <w:sz w:val="22"/>
          <w:szCs w:val="22"/>
          <w:lang w:val="de-CH" w:eastAsia="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434"/>
        <w:gridCol w:w="2434"/>
        <w:gridCol w:w="2434"/>
      </w:tblGrid>
      <w:tr w:rsidR="00FB7BF1" w:rsidRPr="00FB7BF1" w14:paraId="38C1D6D1" w14:textId="77777777" w:rsidTr="00FB7BF1">
        <w:tc>
          <w:tcPr>
            <w:tcW w:w="1250" w:type="pct"/>
            <w:shd w:val="clear" w:color="auto" w:fill="D9D9D9" w:themeFill="background1" w:themeFillShade="D9"/>
          </w:tcPr>
          <w:p w14:paraId="64141180" w14:textId="77777777" w:rsidR="00FB7BF1" w:rsidRPr="00FB7BF1" w:rsidRDefault="00FB7BF1" w:rsidP="00FB7BF1">
            <w:pPr>
              <w:rPr>
                <w:rFonts w:ascii="Arial" w:hAnsi="Arial"/>
                <w:kern w:val="10"/>
                <w:sz w:val="22"/>
                <w:szCs w:val="22"/>
                <w:lang w:val="de-CH" w:eastAsia="de-CH"/>
              </w:rPr>
            </w:pPr>
          </w:p>
        </w:tc>
        <w:tc>
          <w:tcPr>
            <w:tcW w:w="1250" w:type="pct"/>
            <w:shd w:val="clear" w:color="auto" w:fill="D9D9D9" w:themeFill="background1" w:themeFillShade="D9"/>
          </w:tcPr>
          <w:p w14:paraId="70F058A1"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HE zur IV</w:t>
            </w:r>
          </w:p>
        </w:tc>
        <w:tc>
          <w:tcPr>
            <w:tcW w:w="1250" w:type="pct"/>
            <w:shd w:val="clear" w:color="auto" w:fill="D9D9D9" w:themeFill="background1" w:themeFillShade="D9"/>
          </w:tcPr>
          <w:p w14:paraId="4F850AD4"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 xml:space="preserve">HE zur AHV </w:t>
            </w:r>
            <w:r w:rsidRPr="00FB7BF1">
              <w:rPr>
                <w:rFonts w:ascii="Arial" w:hAnsi="Arial"/>
                <w:kern w:val="10"/>
                <w:sz w:val="18"/>
                <w:szCs w:val="22"/>
                <w:lang w:val="de-CH" w:eastAsia="de-CH"/>
              </w:rPr>
              <w:t>ohne Besitzstand</w:t>
            </w:r>
          </w:p>
        </w:tc>
        <w:tc>
          <w:tcPr>
            <w:tcW w:w="1250" w:type="pct"/>
            <w:shd w:val="clear" w:color="auto" w:fill="D9D9D9" w:themeFill="background1" w:themeFillShade="D9"/>
          </w:tcPr>
          <w:p w14:paraId="3DFD480C"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 xml:space="preserve">HE zur AHV </w:t>
            </w:r>
            <w:r w:rsidRPr="00FB7BF1">
              <w:rPr>
                <w:rFonts w:ascii="Arial" w:hAnsi="Arial"/>
                <w:kern w:val="10"/>
                <w:sz w:val="22"/>
                <w:szCs w:val="22"/>
                <w:lang w:val="de-CH" w:eastAsia="de-CH"/>
              </w:rPr>
              <w:br/>
            </w:r>
            <w:r w:rsidRPr="00FB7BF1">
              <w:rPr>
                <w:rFonts w:ascii="Arial" w:hAnsi="Arial"/>
                <w:kern w:val="10"/>
                <w:sz w:val="18"/>
                <w:szCs w:val="22"/>
                <w:lang w:val="de-CH" w:eastAsia="de-CH"/>
              </w:rPr>
              <w:t>mit Besitzstand*</w:t>
            </w:r>
          </w:p>
        </w:tc>
      </w:tr>
      <w:tr w:rsidR="00FB7BF1" w:rsidRPr="00FB7BF1" w14:paraId="2E5F21EA" w14:textId="77777777" w:rsidTr="00FB7BF1">
        <w:tc>
          <w:tcPr>
            <w:tcW w:w="1250" w:type="pct"/>
          </w:tcPr>
          <w:p w14:paraId="7F5ADD53"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Ohne HE</w:t>
            </w:r>
          </w:p>
        </w:tc>
        <w:tc>
          <w:tcPr>
            <w:tcW w:w="3750" w:type="pct"/>
            <w:gridSpan w:val="3"/>
          </w:tcPr>
          <w:p w14:paraId="5BE9AB57"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4500.-</w:t>
            </w:r>
          </w:p>
        </w:tc>
      </w:tr>
      <w:tr w:rsidR="00FB7BF1" w:rsidRPr="00FB7BF1" w14:paraId="745EB53F" w14:textId="77777777" w:rsidTr="00FB7BF1">
        <w:tc>
          <w:tcPr>
            <w:tcW w:w="1250" w:type="pct"/>
          </w:tcPr>
          <w:p w14:paraId="12A4EAC6" w14:textId="77777777" w:rsidR="00FB7BF1" w:rsidRPr="00FB7BF1" w:rsidRDefault="00FB7BF1" w:rsidP="00FB7BF1">
            <w:pPr>
              <w:rPr>
                <w:rFonts w:ascii="Arial" w:hAnsi="Arial"/>
                <w:kern w:val="10"/>
                <w:sz w:val="22"/>
                <w:szCs w:val="22"/>
                <w:lang w:val="de-CH" w:eastAsia="de-CH"/>
              </w:rPr>
            </w:pPr>
            <w:proofErr w:type="gramStart"/>
            <w:r w:rsidRPr="00FB7BF1">
              <w:rPr>
                <w:rFonts w:ascii="Arial" w:hAnsi="Arial"/>
                <w:kern w:val="10"/>
                <w:sz w:val="22"/>
                <w:szCs w:val="22"/>
                <w:lang w:val="de-CH" w:eastAsia="de-CH"/>
              </w:rPr>
              <w:t>HE</w:t>
            </w:r>
            <w:proofErr w:type="gramEnd"/>
            <w:r w:rsidRPr="00FB7BF1">
              <w:rPr>
                <w:rFonts w:ascii="Arial" w:hAnsi="Arial"/>
                <w:kern w:val="10"/>
                <w:sz w:val="22"/>
                <w:szCs w:val="22"/>
                <w:lang w:val="de-CH" w:eastAsia="de-CH"/>
              </w:rPr>
              <w:t xml:space="preserve"> leicht</w:t>
            </w:r>
          </w:p>
        </w:tc>
        <w:tc>
          <w:tcPr>
            <w:tcW w:w="1250" w:type="pct"/>
          </w:tcPr>
          <w:p w14:paraId="5BCF5C75"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4620.-</w:t>
            </w:r>
          </w:p>
        </w:tc>
        <w:tc>
          <w:tcPr>
            <w:tcW w:w="1250" w:type="pct"/>
          </w:tcPr>
          <w:p w14:paraId="3D1AECFD"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4500.-</w:t>
            </w:r>
          </w:p>
        </w:tc>
        <w:tc>
          <w:tcPr>
            <w:tcW w:w="1250" w:type="pct"/>
          </w:tcPr>
          <w:p w14:paraId="4D0282BF"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4620.-</w:t>
            </w:r>
          </w:p>
        </w:tc>
      </w:tr>
      <w:tr w:rsidR="00FB7BF1" w:rsidRPr="00FB7BF1" w14:paraId="446E4244" w14:textId="77777777" w:rsidTr="00FB7BF1">
        <w:tc>
          <w:tcPr>
            <w:tcW w:w="1250" w:type="pct"/>
          </w:tcPr>
          <w:p w14:paraId="705C263F"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HE mittel</w:t>
            </w:r>
          </w:p>
        </w:tc>
        <w:tc>
          <w:tcPr>
            <w:tcW w:w="1250" w:type="pct"/>
          </w:tcPr>
          <w:p w14:paraId="1A34428A"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4799.-</w:t>
            </w:r>
          </w:p>
        </w:tc>
        <w:tc>
          <w:tcPr>
            <w:tcW w:w="1250" w:type="pct"/>
          </w:tcPr>
          <w:p w14:paraId="61E96127"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5098.-</w:t>
            </w:r>
          </w:p>
        </w:tc>
        <w:tc>
          <w:tcPr>
            <w:tcW w:w="1250" w:type="pct"/>
          </w:tcPr>
          <w:p w14:paraId="5140F7C6"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5098.-</w:t>
            </w:r>
          </w:p>
        </w:tc>
      </w:tr>
      <w:tr w:rsidR="00FB7BF1" w:rsidRPr="00FB7BF1" w14:paraId="61E1D183" w14:textId="77777777" w:rsidTr="00FB7BF1">
        <w:tc>
          <w:tcPr>
            <w:tcW w:w="1250" w:type="pct"/>
          </w:tcPr>
          <w:p w14:paraId="54F114A7" w14:textId="77777777" w:rsidR="00FB7BF1" w:rsidRPr="00FB7BF1" w:rsidRDefault="00FB7BF1" w:rsidP="00FB7BF1">
            <w:pPr>
              <w:rPr>
                <w:rFonts w:ascii="Arial" w:hAnsi="Arial"/>
                <w:kern w:val="10"/>
                <w:sz w:val="22"/>
                <w:szCs w:val="22"/>
                <w:lang w:val="de-CH" w:eastAsia="de-CH"/>
              </w:rPr>
            </w:pPr>
            <w:proofErr w:type="gramStart"/>
            <w:r w:rsidRPr="00FB7BF1">
              <w:rPr>
                <w:rFonts w:ascii="Arial" w:hAnsi="Arial"/>
                <w:kern w:val="10"/>
                <w:sz w:val="22"/>
                <w:szCs w:val="22"/>
                <w:lang w:val="de-CH" w:eastAsia="de-CH"/>
              </w:rPr>
              <w:t>HE</w:t>
            </w:r>
            <w:proofErr w:type="gramEnd"/>
            <w:r w:rsidRPr="00FB7BF1">
              <w:rPr>
                <w:rFonts w:ascii="Arial" w:hAnsi="Arial"/>
                <w:kern w:val="10"/>
                <w:sz w:val="22"/>
                <w:szCs w:val="22"/>
                <w:lang w:val="de-CH" w:eastAsia="de-CH"/>
              </w:rPr>
              <w:t xml:space="preserve"> schwer</w:t>
            </w:r>
          </w:p>
        </w:tc>
        <w:tc>
          <w:tcPr>
            <w:tcW w:w="1250" w:type="pct"/>
          </w:tcPr>
          <w:p w14:paraId="3FB21E5D"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4978.-</w:t>
            </w:r>
          </w:p>
        </w:tc>
        <w:tc>
          <w:tcPr>
            <w:tcW w:w="1250" w:type="pct"/>
          </w:tcPr>
          <w:p w14:paraId="2F43AB81"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5456.-</w:t>
            </w:r>
          </w:p>
        </w:tc>
        <w:tc>
          <w:tcPr>
            <w:tcW w:w="1250" w:type="pct"/>
          </w:tcPr>
          <w:p w14:paraId="521745E9"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5456.-</w:t>
            </w:r>
          </w:p>
        </w:tc>
      </w:tr>
    </w:tbl>
    <w:p w14:paraId="2F2F6E93" w14:textId="77777777" w:rsidR="00FB7BF1" w:rsidRPr="00FB7BF1" w:rsidRDefault="00FB7BF1" w:rsidP="00FB7BF1">
      <w:pPr>
        <w:rPr>
          <w:rFonts w:ascii="Arial" w:hAnsi="Arial"/>
          <w:kern w:val="10"/>
          <w:sz w:val="22"/>
          <w:szCs w:val="22"/>
          <w:lang w:val="de-CH" w:eastAsia="de-CH"/>
        </w:rPr>
      </w:pPr>
    </w:p>
    <w:p w14:paraId="49B1CB07"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Für </w:t>
      </w:r>
      <w:r w:rsidRPr="00FB7BF1">
        <w:rPr>
          <w:rFonts w:ascii="Arial" w:hAnsi="Arial"/>
          <w:b/>
          <w:kern w:val="10"/>
          <w:sz w:val="22"/>
          <w:szCs w:val="22"/>
          <w:lang w:val="de-CH" w:eastAsia="de-CH"/>
        </w:rPr>
        <w:t>einzelne Tage oder unvollständige Monate</w:t>
      </w:r>
      <w:r w:rsidRPr="00FB7BF1">
        <w:rPr>
          <w:rFonts w:ascii="Arial" w:hAnsi="Arial"/>
          <w:kern w:val="10"/>
          <w:sz w:val="22"/>
          <w:szCs w:val="22"/>
          <w:lang w:val="de-CH" w:eastAsia="de-CH"/>
        </w:rPr>
        <w:t xml:space="preserve"> (wegen Ein-/Austritt) oder für </w:t>
      </w:r>
      <w:r w:rsidRPr="00FB7BF1">
        <w:rPr>
          <w:rFonts w:ascii="Arial" w:hAnsi="Arial"/>
          <w:b/>
          <w:kern w:val="10"/>
          <w:sz w:val="22"/>
          <w:szCs w:val="22"/>
          <w:lang w:val="de-CH" w:eastAsia="de-CH"/>
        </w:rPr>
        <w:t>Gastplätze</w:t>
      </w:r>
      <w:r w:rsidRPr="00FB7BF1">
        <w:rPr>
          <w:rFonts w:ascii="Arial" w:hAnsi="Arial"/>
          <w:kern w:val="10"/>
          <w:sz w:val="22"/>
          <w:szCs w:val="22"/>
          <w:lang w:val="de-CH" w:eastAsia="de-CH"/>
        </w:rPr>
        <w:t xml:space="preserve"> (sporadisch oder tageweise) beträgt der Ansatz normalerweise pro Tag:</w:t>
      </w:r>
    </w:p>
    <w:p w14:paraId="44C6AC47" w14:textId="77777777" w:rsidR="00FB7BF1" w:rsidRPr="00FB7BF1" w:rsidRDefault="00FB7BF1" w:rsidP="00FB7BF1">
      <w:pPr>
        <w:rPr>
          <w:rFonts w:ascii="Arial" w:hAnsi="Arial"/>
          <w:kern w:val="10"/>
          <w:sz w:val="22"/>
          <w:szCs w:val="22"/>
          <w:lang w:val="de-CH" w:eastAsia="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434"/>
        <w:gridCol w:w="2434"/>
        <w:gridCol w:w="2434"/>
      </w:tblGrid>
      <w:tr w:rsidR="00FB7BF1" w:rsidRPr="00FB7BF1" w14:paraId="3A131433" w14:textId="77777777" w:rsidTr="00FB7BF1">
        <w:tc>
          <w:tcPr>
            <w:tcW w:w="1250" w:type="pct"/>
            <w:shd w:val="clear" w:color="auto" w:fill="D9D9D9" w:themeFill="background1" w:themeFillShade="D9"/>
          </w:tcPr>
          <w:p w14:paraId="14CBE661" w14:textId="77777777" w:rsidR="00FB7BF1" w:rsidRPr="00FB7BF1" w:rsidRDefault="00FB7BF1" w:rsidP="00FB7BF1">
            <w:pPr>
              <w:rPr>
                <w:rFonts w:ascii="Arial" w:hAnsi="Arial"/>
                <w:kern w:val="10"/>
                <w:sz w:val="22"/>
                <w:szCs w:val="22"/>
                <w:lang w:val="de-CH" w:eastAsia="de-CH"/>
              </w:rPr>
            </w:pPr>
          </w:p>
        </w:tc>
        <w:tc>
          <w:tcPr>
            <w:tcW w:w="1250" w:type="pct"/>
            <w:shd w:val="clear" w:color="auto" w:fill="D9D9D9" w:themeFill="background1" w:themeFillShade="D9"/>
          </w:tcPr>
          <w:p w14:paraId="6D51CEC2"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HE zur IV</w:t>
            </w:r>
          </w:p>
        </w:tc>
        <w:tc>
          <w:tcPr>
            <w:tcW w:w="1250" w:type="pct"/>
            <w:shd w:val="clear" w:color="auto" w:fill="D9D9D9" w:themeFill="background1" w:themeFillShade="D9"/>
          </w:tcPr>
          <w:p w14:paraId="7675D92A"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 xml:space="preserve">HE zur AHV </w:t>
            </w:r>
            <w:r w:rsidRPr="00FB7BF1">
              <w:rPr>
                <w:rFonts w:ascii="Arial" w:hAnsi="Arial"/>
                <w:kern w:val="10"/>
                <w:sz w:val="18"/>
                <w:szCs w:val="22"/>
                <w:lang w:val="de-CH" w:eastAsia="de-CH"/>
              </w:rPr>
              <w:t>ohne Besitzstand</w:t>
            </w:r>
          </w:p>
        </w:tc>
        <w:tc>
          <w:tcPr>
            <w:tcW w:w="1250" w:type="pct"/>
            <w:shd w:val="clear" w:color="auto" w:fill="D9D9D9" w:themeFill="background1" w:themeFillShade="D9"/>
          </w:tcPr>
          <w:p w14:paraId="221927A8"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 xml:space="preserve">HE zur AHV </w:t>
            </w:r>
            <w:r w:rsidRPr="00FB7BF1">
              <w:rPr>
                <w:rFonts w:ascii="Arial" w:hAnsi="Arial"/>
                <w:kern w:val="10"/>
                <w:sz w:val="22"/>
                <w:szCs w:val="22"/>
                <w:lang w:val="de-CH" w:eastAsia="de-CH"/>
              </w:rPr>
              <w:br/>
            </w:r>
            <w:r w:rsidRPr="00FB7BF1">
              <w:rPr>
                <w:rFonts w:ascii="Arial" w:hAnsi="Arial"/>
                <w:kern w:val="10"/>
                <w:sz w:val="18"/>
                <w:szCs w:val="22"/>
                <w:lang w:val="de-CH" w:eastAsia="de-CH"/>
              </w:rPr>
              <w:t>mit Besitzstand*</w:t>
            </w:r>
          </w:p>
        </w:tc>
      </w:tr>
      <w:tr w:rsidR="00FB7BF1" w:rsidRPr="00FB7BF1" w14:paraId="6C445CA8" w14:textId="77777777" w:rsidTr="00FB7BF1">
        <w:tc>
          <w:tcPr>
            <w:tcW w:w="1250" w:type="pct"/>
          </w:tcPr>
          <w:p w14:paraId="08FABCE6"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Ohne HE</w:t>
            </w:r>
          </w:p>
        </w:tc>
        <w:tc>
          <w:tcPr>
            <w:tcW w:w="3750" w:type="pct"/>
            <w:gridSpan w:val="3"/>
          </w:tcPr>
          <w:p w14:paraId="162D8B44"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150.-</w:t>
            </w:r>
          </w:p>
        </w:tc>
      </w:tr>
      <w:tr w:rsidR="00FB7BF1" w:rsidRPr="00FB7BF1" w14:paraId="515121EF" w14:textId="77777777" w:rsidTr="00FB7BF1">
        <w:tc>
          <w:tcPr>
            <w:tcW w:w="1250" w:type="pct"/>
          </w:tcPr>
          <w:p w14:paraId="15A398A3" w14:textId="77777777" w:rsidR="00FB7BF1" w:rsidRPr="00FB7BF1" w:rsidRDefault="00FB7BF1" w:rsidP="00FB7BF1">
            <w:pPr>
              <w:rPr>
                <w:rFonts w:ascii="Arial" w:hAnsi="Arial"/>
                <w:kern w:val="10"/>
                <w:sz w:val="22"/>
                <w:szCs w:val="22"/>
                <w:lang w:val="de-CH" w:eastAsia="de-CH"/>
              </w:rPr>
            </w:pPr>
            <w:proofErr w:type="gramStart"/>
            <w:r w:rsidRPr="00FB7BF1">
              <w:rPr>
                <w:rFonts w:ascii="Arial" w:hAnsi="Arial"/>
                <w:kern w:val="10"/>
                <w:sz w:val="22"/>
                <w:szCs w:val="22"/>
                <w:lang w:val="de-CH" w:eastAsia="de-CH"/>
              </w:rPr>
              <w:t>HE</w:t>
            </w:r>
            <w:proofErr w:type="gramEnd"/>
            <w:r w:rsidRPr="00FB7BF1">
              <w:rPr>
                <w:rFonts w:ascii="Arial" w:hAnsi="Arial"/>
                <w:kern w:val="10"/>
                <w:sz w:val="22"/>
                <w:szCs w:val="22"/>
                <w:lang w:val="de-CH" w:eastAsia="de-CH"/>
              </w:rPr>
              <w:t xml:space="preserve"> leicht</w:t>
            </w:r>
          </w:p>
        </w:tc>
        <w:tc>
          <w:tcPr>
            <w:tcW w:w="1250" w:type="pct"/>
          </w:tcPr>
          <w:p w14:paraId="40236594"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154.-</w:t>
            </w:r>
          </w:p>
        </w:tc>
        <w:tc>
          <w:tcPr>
            <w:tcW w:w="1250" w:type="pct"/>
          </w:tcPr>
          <w:p w14:paraId="28FCB9BB"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150.-</w:t>
            </w:r>
          </w:p>
        </w:tc>
        <w:tc>
          <w:tcPr>
            <w:tcW w:w="1250" w:type="pct"/>
          </w:tcPr>
          <w:p w14:paraId="026E020B"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154.-</w:t>
            </w:r>
          </w:p>
        </w:tc>
      </w:tr>
      <w:tr w:rsidR="00FB7BF1" w:rsidRPr="00FB7BF1" w14:paraId="2E92774B" w14:textId="77777777" w:rsidTr="00FB7BF1">
        <w:tc>
          <w:tcPr>
            <w:tcW w:w="1250" w:type="pct"/>
          </w:tcPr>
          <w:p w14:paraId="308FA1AC"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HE mittel</w:t>
            </w:r>
          </w:p>
        </w:tc>
        <w:tc>
          <w:tcPr>
            <w:tcW w:w="1250" w:type="pct"/>
          </w:tcPr>
          <w:p w14:paraId="113A17C8"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159.95</w:t>
            </w:r>
          </w:p>
        </w:tc>
        <w:tc>
          <w:tcPr>
            <w:tcW w:w="1250" w:type="pct"/>
          </w:tcPr>
          <w:p w14:paraId="7CAF1464"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169.95</w:t>
            </w:r>
          </w:p>
        </w:tc>
        <w:tc>
          <w:tcPr>
            <w:tcW w:w="1250" w:type="pct"/>
          </w:tcPr>
          <w:p w14:paraId="63AE3E22"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169.95</w:t>
            </w:r>
          </w:p>
        </w:tc>
      </w:tr>
      <w:tr w:rsidR="00FB7BF1" w:rsidRPr="00FB7BF1" w14:paraId="48BC137E" w14:textId="77777777" w:rsidTr="00FB7BF1">
        <w:tc>
          <w:tcPr>
            <w:tcW w:w="1250" w:type="pct"/>
          </w:tcPr>
          <w:p w14:paraId="43F74306" w14:textId="77777777" w:rsidR="00FB7BF1" w:rsidRPr="00FB7BF1" w:rsidRDefault="00FB7BF1" w:rsidP="00FB7BF1">
            <w:pPr>
              <w:rPr>
                <w:rFonts w:ascii="Arial" w:hAnsi="Arial"/>
                <w:kern w:val="10"/>
                <w:sz w:val="22"/>
                <w:szCs w:val="22"/>
                <w:lang w:val="de-CH" w:eastAsia="de-CH"/>
              </w:rPr>
            </w:pPr>
            <w:proofErr w:type="gramStart"/>
            <w:r w:rsidRPr="00FB7BF1">
              <w:rPr>
                <w:rFonts w:ascii="Arial" w:hAnsi="Arial"/>
                <w:kern w:val="10"/>
                <w:sz w:val="22"/>
                <w:szCs w:val="22"/>
                <w:lang w:val="de-CH" w:eastAsia="de-CH"/>
              </w:rPr>
              <w:t>HE</w:t>
            </w:r>
            <w:proofErr w:type="gramEnd"/>
            <w:r w:rsidRPr="00FB7BF1">
              <w:rPr>
                <w:rFonts w:ascii="Arial" w:hAnsi="Arial"/>
                <w:kern w:val="10"/>
                <w:sz w:val="22"/>
                <w:szCs w:val="22"/>
                <w:lang w:val="de-CH" w:eastAsia="de-CH"/>
              </w:rPr>
              <w:t xml:space="preserve"> schwer</w:t>
            </w:r>
          </w:p>
        </w:tc>
        <w:tc>
          <w:tcPr>
            <w:tcW w:w="1250" w:type="pct"/>
          </w:tcPr>
          <w:p w14:paraId="7FD321A8"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165.95</w:t>
            </w:r>
          </w:p>
        </w:tc>
        <w:tc>
          <w:tcPr>
            <w:tcW w:w="1250" w:type="pct"/>
          </w:tcPr>
          <w:p w14:paraId="61BF1A1F"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181.85</w:t>
            </w:r>
          </w:p>
        </w:tc>
        <w:tc>
          <w:tcPr>
            <w:tcW w:w="1250" w:type="pct"/>
          </w:tcPr>
          <w:p w14:paraId="7B5A0D45"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181.85</w:t>
            </w:r>
          </w:p>
        </w:tc>
      </w:tr>
    </w:tbl>
    <w:p w14:paraId="72449353" w14:textId="77777777" w:rsidR="00FB7BF1" w:rsidRPr="00FB7BF1" w:rsidRDefault="00FB7BF1" w:rsidP="00FB7BF1">
      <w:pPr>
        <w:rPr>
          <w:rFonts w:ascii="Arial" w:hAnsi="Arial"/>
          <w:kern w:val="10"/>
          <w:sz w:val="22"/>
          <w:szCs w:val="22"/>
          <w:lang w:val="de-CH" w:eastAsia="de-CH"/>
        </w:rPr>
      </w:pPr>
    </w:p>
    <w:p w14:paraId="4BD4CD17"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Ausschlaggebend ist in jedem Fall die effektive Höhe der Hilflosenentschädigung, welche die Person erhält. Dies gilt auch für die HE zur UV.</w:t>
      </w:r>
      <w:r w:rsidRPr="00FB7BF1">
        <w:rPr>
          <w:rFonts w:ascii="Arial" w:hAnsi="Arial"/>
          <w:kern w:val="10"/>
          <w:sz w:val="22"/>
          <w:szCs w:val="22"/>
          <w:lang w:val="de-CH" w:eastAsia="de-CH"/>
        </w:rPr>
        <w:br w:type="page"/>
      </w:r>
    </w:p>
    <w:p w14:paraId="3DCCC199" w14:textId="7493B2E6" w:rsidR="00FB7BF1" w:rsidRPr="00FB7BF1" w:rsidRDefault="001C25B8" w:rsidP="00FB7BF1">
      <w:pPr>
        <w:keepNext/>
        <w:keepLines/>
        <w:numPr>
          <w:ilvl w:val="1"/>
          <w:numId w:val="0"/>
        </w:numPr>
        <w:spacing w:before="240" w:after="60"/>
        <w:outlineLvl w:val="1"/>
        <w:rPr>
          <w:rFonts w:ascii="Arial" w:hAnsi="Arial" w:cs="Arial"/>
          <w:b/>
          <w:bCs/>
          <w:iCs/>
          <w:kern w:val="10"/>
          <w:sz w:val="24"/>
          <w:szCs w:val="28"/>
          <w:lang w:val="de-CH" w:eastAsia="de-CH"/>
        </w:rPr>
      </w:pPr>
      <w:r>
        <w:rPr>
          <w:rFonts w:ascii="Arial" w:hAnsi="Arial" w:cs="Arial"/>
          <w:b/>
          <w:bCs/>
          <w:iCs/>
          <w:kern w:val="10"/>
          <w:sz w:val="24"/>
          <w:szCs w:val="28"/>
          <w:lang w:val="de-CH" w:eastAsia="de-CH"/>
        </w:rPr>
        <w:lastRenderedPageBreak/>
        <w:t xml:space="preserve">3.2 </w:t>
      </w:r>
      <w:r w:rsidR="00FB7BF1" w:rsidRPr="00FB7BF1">
        <w:rPr>
          <w:rFonts w:ascii="Arial" w:hAnsi="Arial" w:cs="Arial"/>
          <w:b/>
          <w:bCs/>
          <w:iCs/>
          <w:kern w:val="10"/>
          <w:sz w:val="24"/>
          <w:szCs w:val="28"/>
          <w:lang w:val="de-CH" w:eastAsia="de-CH"/>
        </w:rPr>
        <w:t>Ermässigung bei Abwesenheiten</w:t>
      </w:r>
    </w:p>
    <w:p w14:paraId="732BE70A"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Die Kostenbeteiligung ist auch bei Abwesenheit geschuldet. Bei Abwesenheiten erstattet die Einrichtung der Person pro Abwesenheitstag folgenden Betrag zurück:</w:t>
      </w:r>
    </w:p>
    <w:p w14:paraId="764B7060" w14:textId="77777777" w:rsidR="00FB7BF1" w:rsidRPr="00FB7BF1" w:rsidRDefault="00FB7BF1" w:rsidP="00FB7BF1">
      <w:pPr>
        <w:rPr>
          <w:rFonts w:ascii="Arial" w:hAnsi="Arial"/>
          <w:kern w:val="10"/>
          <w:sz w:val="22"/>
          <w:szCs w:val="22"/>
          <w:lang w:val="de-CH" w:eastAsia="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32"/>
        <w:gridCol w:w="2432"/>
        <w:gridCol w:w="2432"/>
      </w:tblGrid>
      <w:tr w:rsidR="00FB7BF1" w:rsidRPr="00FB7BF1" w14:paraId="2E9383C6" w14:textId="77777777" w:rsidTr="001C25B8">
        <w:tc>
          <w:tcPr>
            <w:tcW w:w="1253" w:type="pct"/>
            <w:shd w:val="clear" w:color="auto" w:fill="D9D9D9" w:themeFill="background1" w:themeFillShade="D9"/>
          </w:tcPr>
          <w:p w14:paraId="47231BEB" w14:textId="77777777" w:rsidR="00FB7BF1" w:rsidRPr="00FB7BF1" w:rsidRDefault="00FB7BF1" w:rsidP="00FB7BF1">
            <w:pPr>
              <w:rPr>
                <w:rFonts w:ascii="Arial" w:hAnsi="Arial"/>
                <w:kern w:val="10"/>
                <w:sz w:val="22"/>
                <w:szCs w:val="22"/>
                <w:lang w:val="de-CH" w:eastAsia="de-CH"/>
              </w:rPr>
            </w:pPr>
          </w:p>
        </w:tc>
        <w:tc>
          <w:tcPr>
            <w:tcW w:w="1249" w:type="pct"/>
            <w:shd w:val="clear" w:color="auto" w:fill="D9D9D9" w:themeFill="background1" w:themeFillShade="D9"/>
          </w:tcPr>
          <w:p w14:paraId="28F2E8C1"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HE zur IV</w:t>
            </w:r>
          </w:p>
        </w:tc>
        <w:tc>
          <w:tcPr>
            <w:tcW w:w="1249" w:type="pct"/>
            <w:shd w:val="clear" w:color="auto" w:fill="D9D9D9" w:themeFill="background1" w:themeFillShade="D9"/>
          </w:tcPr>
          <w:p w14:paraId="09D7FA8D"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 xml:space="preserve">HE zur AHV </w:t>
            </w:r>
            <w:r w:rsidRPr="00FB7BF1">
              <w:rPr>
                <w:rFonts w:ascii="Arial" w:hAnsi="Arial"/>
                <w:kern w:val="10"/>
                <w:sz w:val="18"/>
                <w:szCs w:val="22"/>
                <w:lang w:val="de-CH" w:eastAsia="de-CH"/>
              </w:rPr>
              <w:t>ohne Besitzstand</w:t>
            </w:r>
          </w:p>
        </w:tc>
        <w:tc>
          <w:tcPr>
            <w:tcW w:w="1249" w:type="pct"/>
            <w:shd w:val="clear" w:color="auto" w:fill="D9D9D9" w:themeFill="background1" w:themeFillShade="D9"/>
          </w:tcPr>
          <w:p w14:paraId="3DB39CCF"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 xml:space="preserve">HE zur AHV </w:t>
            </w:r>
            <w:r w:rsidRPr="00FB7BF1">
              <w:rPr>
                <w:rFonts w:ascii="Arial" w:hAnsi="Arial"/>
                <w:kern w:val="10"/>
                <w:sz w:val="22"/>
                <w:szCs w:val="22"/>
                <w:lang w:val="de-CH" w:eastAsia="de-CH"/>
              </w:rPr>
              <w:br/>
            </w:r>
            <w:r w:rsidRPr="00FB7BF1">
              <w:rPr>
                <w:rFonts w:ascii="Arial" w:hAnsi="Arial"/>
                <w:kern w:val="10"/>
                <w:sz w:val="18"/>
                <w:szCs w:val="22"/>
                <w:lang w:val="de-CH" w:eastAsia="de-CH"/>
              </w:rPr>
              <w:t>mit Besitzstand*</w:t>
            </w:r>
          </w:p>
        </w:tc>
      </w:tr>
      <w:tr w:rsidR="00FB7BF1" w:rsidRPr="00FB7BF1" w14:paraId="55025F20" w14:textId="77777777" w:rsidTr="001C25B8">
        <w:tc>
          <w:tcPr>
            <w:tcW w:w="1253" w:type="pct"/>
          </w:tcPr>
          <w:p w14:paraId="6C32FCD9"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Ohne HE</w:t>
            </w:r>
          </w:p>
        </w:tc>
        <w:tc>
          <w:tcPr>
            <w:tcW w:w="3747" w:type="pct"/>
            <w:gridSpan w:val="3"/>
          </w:tcPr>
          <w:p w14:paraId="7B1AFA54"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25.-</w:t>
            </w:r>
          </w:p>
        </w:tc>
      </w:tr>
      <w:tr w:rsidR="00FB7BF1" w:rsidRPr="00FB7BF1" w14:paraId="0E104A91" w14:textId="77777777" w:rsidTr="001C25B8">
        <w:tc>
          <w:tcPr>
            <w:tcW w:w="1253" w:type="pct"/>
          </w:tcPr>
          <w:p w14:paraId="57083D25" w14:textId="77777777" w:rsidR="00FB7BF1" w:rsidRPr="00FB7BF1" w:rsidRDefault="00FB7BF1" w:rsidP="00FB7BF1">
            <w:pPr>
              <w:rPr>
                <w:rFonts w:ascii="Arial" w:hAnsi="Arial"/>
                <w:kern w:val="10"/>
                <w:sz w:val="22"/>
                <w:szCs w:val="22"/>
                <w:lang w:val="de-CH" w:eastAsia="de-CH"/>
              </w:rPr>
            </w:pPr>
            <w:proofErr w:type="gramStart"/>
            <w:r w:rsidRPr="00FB7BF1">
              <w:rPr>
                <w:rFonts w:ascii="Arial" w:hAnsi="Arial"/>
                <w:kern w:val="10"/>
                <w:sz w:val="22"/>
                <w:szCs w:val="22"/>
                <w:lang w:val="de-CH" w:eastAsia="de-CH"/>
              </w:rPr>
              <w:t>HE</w:t>
            </w:r>
            <w:proofErr w:type="gramEnd"/>
            <w:r w:rsidRPr="00FB7BF1">
              <w:rPr>
                <w:rFonts w:ascii="Arial" w:hAnsi="Arial"/>
                <w:kern w:val="10"/>
                <w:sz w:val="22"/>
                <w:szCs w:val="22"/>
                <w:lang w:val="de-CH" w:eastAsia="de-CH"/>
              </w:rPr>
              <w:t xml:space="preserve"> leicht</w:t>
            </w:r>
          </w:p>
        </w:tc>
        <w:tc>
          <w:tcPr>
            <w:tcW w:w="1249" w:type="pct"/>
          </w:tcPr>
          <w:p w14:paraId="721E8B35"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29.-</w:t>
            </w:r>
          </w:p>
        </w:tc>
        <w:tc>
          <w:tcPr>
            <w:tcW w:w="1249" w:type="pct"/>
          </w:tcPr>
          <w:p w14:paraId="18CF5722"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25.-</w:t>
            </w:r>
          </w:p>
        </w:tc>
        <w:tc>
          <w:tcPr>
            <w:tcW w:w="1249" w:type="pct"/>
          </w:tcPr>
          <w:p w14:paraId="654E75F6"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29.-</w:t>
            </w:r>
          </w:p>
        </w:tc>
      </w:tr>
      <w:tr w:rsidR="00FB7BF1" w:rsidRPr="00FB7BF1" w14:paraId="3E8AF226" w14:textId="77777777" w:rsidTr="001C25B8">
        <w:tc>
          <w:tcPr>
            <w:tcW w:w="1253" w:type="pct"/>
          </w:tcPr>
          <w:p w14:paraId="22095B3E"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HE mittel</w:t>
            </w:r>
          </w:p>
        </w:tc>
        <w:tc>
          <w:tcPr>
            <w:tcW w:w="1249" w:type="pct"/>
          </w:tcPr>
          <w:p w14:paraId="5BFE26B3"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34.95</w:t>
            </w:r>
          </w:p>
        </w:tc>
        <w:tc>
          <w:tcPr>
            <w:tcW w:w="1249" w:type="pct"/>
          </w:tcPr>
          <w:p w14:paraId="401F7E50"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44.95</w:t>
            </w:r>
          </w:p>
        </w:tc>
        <w:tc>
          <w:tcPr>
            <w:tcW w:w="1249" w:type="pct"/>
          </w:tcPr>
          <w:p w14:paraId="133DA260"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44.95</w:t>
            </w:r>
          </w:p>
        </w:tc>
      </w:tr>
      <w:tr w:rsidR="00FB7BF1" w:rsidRPr="00FB7BF1" w14:paraId="3B8A1FD7" w14:textId="77777777" w:rsidTr="001C25B8">
        <w:tc>
          <w:tcPr>
            <w:tcW w:w="1253" w:type="pct"/>
          </w:tcPr>
          <w:p w14:paraId="73787B43" w14:textId="77777777" w:rsidR="00FB7BF1" w:rsidRPr="00FB7BF1" w:rsidRDefault="00FB7BF1" w:rsidP="00FB7BF1">
            <w:pPr>
              <w:rPr>
                <w:rFonts w:ascii="Arial" w:hAnsi="Arial"/>
                <w:kern w:val="10"/>
                <w:sz w:val="22"/>
                <w:szCs w:val="22"/>
                <w:lang w:val="de-CH" w:eastAsia="de-CH"/>
              </w:rPr>
            </w:pPr>
            <w:proofErr w:type="gramStart"/>
            <w:r w:rsidRPr="00FB7BF1">
              <w:rPr>
                <w:rFonts w:ascii="Arial" w:hAnsi="Arial"/>
                <w:kern w:val="10"/>
                <w:sz w:val="22"/>
                <w:szCs w:val="22"/>
                <w:lang w:val="de-CH" w:eastAsia="de-CH"/>
              </w:rPr>
              <w:t>HE</w:t>
            </w:r>
            <w:proofErr w:type="gramEnd"/>
            <w:r w:rsidRPr="00FB7BF1">
              <w:rPr>
                <w:rFonts w:ascii="Arial" w:hAnsi="Arial"/>
                <w:kern w:val="10"/>
                <w:sz w:val="22"/>
                <w:szCs w:val="22"/>
                <w:lang w:val="de-CH" w:eastAsia="de-CH"/>
              </w:rPr>
              <w:t xml:space="preserve"> schwer</w:t>
            </w:r>
          </w:p>
        </w:tc>
        <w:tc>
          <w:tcPr>
            <w:tcW w:w="1249" w:type="pct"/>
          </w:tcPr>
          <w:p w14:paraId="701DA2E9"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40.95.-</w:t>
            </w:r>
          </w:p>
        </w:tc>
        <w:tc>
          <w:tcPr>
            <w:tcW w:w="1249" w:type="pct"/>
          </w:tcPr>
          <w:p w14:paraId="3BFFC24D"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56.85</w:t>
            </w:r>
          </w:p>
        </w:tc>
        <w:tc>
          <w:tcPr>
            <w:tcW w:w="1249" w:type="pct"/>
          </w:tcPr>
          <w:p w14:paraId="5DCDCEF9" w14:textId="77777777" w:rsidR="00FB7BF1" w:rsidRPr="00FB7BF1" w:rsidRDefault="00FB7BF1" w:rsidP="00FB7BF1">
            <w:pPr>
              <w:jc w:val="center"/>
              <w:rPr>
                <w:rFonts w:ascii="Arial" w:hAnsi="Arial"/>
                <w:kern w:val="10"/>
                <w:sz w:val="22"/>
                <w:szCs w:val="22"/>
                <w:lang w:val="de-CH" w:eastAsia="de-CH"/>
              </w:rPr>
            </w:pPr>
            <w:r w:rsidRPr="00FB7BF1">
              <w:rPr>
                <w:rFonts w:ascii="Arial" w:hAnsi="Arial"/>
                <w:kern w:val="10"/>
                <w:sz w:val="22"/>
                <w:szCs w:val="22"/>
                <w:lang w:val="de-CH" w:eastAsia="de-CH"/>
              </w:rPr>
              <w:t>56.85</w:t>
            </w:r>
          </w:p>
        </w:tc>
      </w:tr>
    </w:tbl>
    <w:p w14:paraId="3CF45ED6" w14:textId="77777777" w:rsidR="00FB7BF1" w:rsidRPr="00FB7BF1" w:rsidRDefault="00FB7BF1" w:rsidP="00FB7BF1">
      <w:pPr>
        <w:rPr>
          <w:rFonts w:ascii="Arial" w:hAnsi="Arial"/>
          <w:kern w:val="10"/>
          <w:sz w:val="22"/>
          <w:szCs w:val="22"/>
          <w:lang w:val="de-CH" w:eastAsia="de-CH"/>
        </w:rPr>
      </w:pPr>
    </w:p>
    <w:p w14:paraId="05E70885" w14:textId="1B0D3824"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Diese Regelung gilt zum einen für </w:t>
      </w:r>
      <w:r w:rsidRPr="00FB7BF1">
        <w:rPr>
          <w:rFonts w:ascii="Arial" w:hAnsi="Arial"/>
          <w:b/>
          <w:kern w:val="10"/>
          <w:sz w:val="22"/>
          <w:szCs w:val="22"/>
          <w:lang w:val="de-CH" w:eastAsia="de-CH"/>
        </w:rPr>
        <w:t>kurzfristige Abwesenheiten</w:t>
      </w:r>
      <w:r w:rsidRPr="00FB7BF1">
        <w:rPr>
          <w:rFonts w:ascii="Arial" w:hAnsi="Arial"/>
          <w:kern w:val="10"/>
          <w:sz w:val="22"/>
          <w:szCs w:val="22"/>
          <w:lang w:val="de-CH" w:eastAsia="de-CH"/>
        </w:rPr>
        <w:t xml:space="preserve"> (z.B. an Wochenenden), zum anderen auch für </w:t>
      </w:r>
      <w:r w:rsidRPr="00FB7BF1">
        <w:rPr>
          <w:rFonts w:ascii="Arial" w:hAnsi="Arial"/>
          <w:b/>
          <w:kern w:val="10"/>
          <w:sz w:val="22"/>
          <w:szCs w:val="22"/>
          <w:lang w:val="de-CH" w:eastAsia="de-CH"/>
        </w:rPr>
        <w:t>mittel- bis langfristige</w:t>
      </w:r>
      <w:r w:rsidRPr="00FB7BF1">
        <w:rPr>
          <w:rFonts w:ascii="Arial" w:hAnsi="Arial"/>
          <w:kern w:val="10"/>
          <w:sz w:val="22"/>
          <w:szCs w:val="22"/>
          <w:lang w:val="de-CH" w:eastAsia="de-CH"/>
        </w:rPr>
        <w:t xml:space="preserve"> (z.B. infolge von Krankheit, Unfall, Spital- und Klinikaufenthalt sowie Mutterschaft). </w:t>
      </w:r>
      <w:r w:rsidR="0065344D">
        <w:rPr>
          <w:rFonts w:ascii="Arial" w:hAnsi="Arial"/>
          <w:kern w:val="10"/>
          <w:sz w:val="22"/>
          <w:szCs w:val="22"/>
          <w:lang w:val="de-CH" w:eastAsia="de-CH"/>
        </w:rPr>
        <w:t>Angebrochene Tage erfahren keine Reduktion.</w:t>
      </w:r>
    </w:p>
    <w:p w14:paraId="0B3E8274" w14:textId="0E0F30ED" w:rsidR="00FB7BF1" w:rsidRPr="00FB7BF1" w:rsidRDefault="001C25B8" w:rsidP="00FB7BF1">
      <w:pPr>
        <w:keepNext/>
        <w:keepLines/>
        <w:numPr>
          <w:ilvl w:val="1"/>
          <w:numId w:val="0"/>
        </w:numPr>
        <w:spacing w:before="240" w:after="60"/>
        <w:outlineLvl w:val="1"/>
        <w:rPr>
          <w:rFonts w:ascii="Arial" w:hAnsi="Arial" w:cs="Arial"/>
          <w:b/>
          <w:bCs/>
          <w:iCs/>
          <w:kern w:val="10"/>
          <w:sz w:val="24"/>
          <w:szCs w:val="28"/>
          <w:lang w:val="de-CH" w:eastAsia="de-CH"/>
        </w:rPr>
      </w:pPr>
      <w:r>
        <w:rPr>
          <w:rFonts w:ascii="Arial" w:hAnsi="Arial" w:cs="Arial"/>
          <w:b/>
          <w:bCs/>
          <w:iCs/>
          <w:kern w:val="10"/>
          <w:sz w:val="24"/>
          <w:szCs w:val="28"/>
          <w:lang w:val="de-CH" w:eastAsia="de-CH"/>
        </w:rPr>
        <w:t xml:space="preserve">3.3 </w:t>
      </w:r>
      <w:r w:rsidR="00FB7BF1" w:rsidRPr="00FB7BF1">
        <w:rPr>
          <w:rFonts w:ascii="Arial" w:hAnsi="Arial" w:cs="Arial"/>
          <w:b/>
          <w:bCs/>
          <w:iCs/>
          <w:kern w:val="10"/>
          <w:sz w:val="24"/>
          <w:szCs w:val="28"/>
          <w:lang w:val="de-CH" w:eastAsia="de-CH"/>
        </w:rPr>
        <w:t>Inbegriffene Leistungen im stationären Angebot «Wohnen»</w:t>
      </w:r>
    </w:p>
    <w:p w14:paraId="781F4F17"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Grundsätzlich sollen sich die Bewohnenden entsprechend ihren Fähigkeiten am Alltag beteiligen und ihre Fähigkeiten im Rahmen der Förderung weiterentwickeln. Können Sie dies nicht oder nur teilweise erbringen, dann sind die nachfolgenden Leistungen als Teil des abgegoltenen Betreuungsaufwandes in der Kostenbeteiligung inbegriffen und werden </w:t>
      </w:r>
      <w:r w:rsidRPr="00FB7BF1">
        <w:rPr>
          <w:rFonts w:ascii="Arial" w:hAnsi="Arial"/>
          <w:i/>
          <w:kern w:val="10"/>
          <w:sz w:val="22"/>
          <w:szCs w:val="22"/>
          <w:lang w:val="de-CH" w:eastAsia="de-CH"/>
        </w:rPr>
        <w:t>nicht</w:t>
      </w:r>
      <w:r w:rsidRPr="00FB7BF1">
        <w:rPr>
          <w:rFonts w:ascii="Arial" w:hAnsi="Arial"/>
          <w:kern w:val="10"/>
          <w:sz w:val="22"/>
          <w:szCs w:val="22"/>
          <w:lang w:val="de-CH" w:eastAsia="de-CH"/>
        </w:rPr>
        <w:t xml:space="preserve"> individuell verrechnet:</w:t>
      </w:r>
    </w:p>
    <w:p w14:paraId="642A12F9" w14:textId="6037CC2B" w:rsidR="00FB7BF1" w:rsidRPr="00B87881" w:rsidRDefault="00FB7BF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 xml:space="preserve">Unterkunft und </w:t>
      </w:r>
      <w:r w:rsidRPr="00562651">
        <w:rPr>
          <w:rFonts w:ascii="Arial" w:hAnsi="Arial"/>
          <w:kern w:val="10"/>
          <w:sz w:val="22"/>
          <w:szCs w:val="24"/>
          <w:lang w:val="de-CH"/>
        </w:rPr>
        <w:t>Verpflegung inkl. Mittagessen in der Tagesstruktur</w:t>
      </w:r>
    </w:p>
    <w:p w14:paraId="3D26D0C5" w14:textId="77777777" w:rsidR="00FB7BF1" w:rsidRPr="00B87881" w:rsidRDefault="00FB7BF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Betreuung und Begleitung</w:t>
      </w:r>
    </w:p>
    <w:p w14:paraId="1523E824" w14:textId="77777777" w:rsidR="00FB7BF1" w:rsidRPr="00B87881" w:rsidRDefault="00FB7BF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Pflege in leichten Krankheitsfällen</w:t>
      </w:r>
    </w:p>
    <w:p w14:paraId="05619E5D" w14:textId="77777777" w:rsidR="00FB7BF1" w:rsidRPr="00B87881" w:rsidRDefault="00FB7BF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Anlässe und Veranstaltungen, die allen Bewohnenden offenstehen</w:t>
      </w:r>
    </w:p>
    <w:p w14:paraId="0D051A6C" w14:textId="1DE20A0A" w:rsidR="00FB7BF1" w:rsidRPr="00B87881" w:rsidRDefault="00B8788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 xml:space="preserve">Aktivitäten, </w:t>
      </w:r>
      <w:r w:rsidR="00FB7BF1" w:rsidRPr="00B87881">
        <w:rPr>
          <w:rFonts w:ascii="Arial" w:hAnsi="Arial"/>
          <w:kern w:val="10"/>
          <w:sz w:val="22"/>
          <w:szCs w:val="24"/>
          <w:lang w:val="de-CH"/>
        </w:rPr>
        <w:t>Gruppenreisen und -fahrten</w:t>
      </w:r>
    </w:p>
    <w:p w14:paraId="03A7DA35" w14:textId="69ED5318" w:rsidR="00B87881" w:rsidRPr="00B87881" w:rsidRDefault="00B8788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24 Stunden Betreuung (Pikettdienst)</w:t>
      </w:r>
    </w:p>
    <w:p w14:paraId="3FFF8058" w14:textId="77777777" w:rsidR="00FB7BF1" w:rsidRPr="0007776E" w:rsidRDefault="00FB7BF1" w:rsidP="00FB7BF1">
      <w:pPr>
        <w:numPr>
          <w:ilvl w:val="0"/>
          <w:numId w:val="7"/>
        </w:numPr>
        <w:contextualSpacing/>
        <w:rPr>
          <w:rFonts w:ascii="Arial" w:hAnsi="Arial"/>
          <w:kern w:val="10"/>
          <w:sz w:val="22"/>
          <w:szCs w:val="24"/>
          <w:lang w:val="de-CH"/>
        </w:rPr>
      </w:pPr>
      <w:r w:rsidRPr="0007776E">
        <w:rPr>
          <w:rFonts w:ascii="Arial" w:hAnsi="Arial"/>
          <w:kern w:val="10"/>
          <w:sz w:val="22"/>
          <w:szCs w:val="24"/>
          <w:lang w:val="de-CH"/>
        </w:rPr>
        <w:t>Telefon-, TV-, Radio- und Internetanschluss</w:t>
      </w:r>
    </w:p>
    <w:p w14:paraId="47EB7AE6" w14:textId="427EDE94" w:rsidR="00FB7BF1" w:rsidRPr="00B87881" w:rsidRDefault="00FB7BF1" w:rsidP="00FB7BF1">
      <w:pPr>
        <w:numPr>
          <w:ilvl w:val="0"/>
          <w:numId w:val="7"/>
        </w:numPr>
        <w:contextualSpacing/>
        <w:rPr>
          <w:rFonts w:ascii="Arial" w:hAnsi="Arial"/>
          <w:kern w:val="10"/>
          <w:sz w:val="22"/>
          <w:szCs w:val="24"/>
          <w:lang w:val="de-CH"/>
        </w:rPr>
      </w:pPr>
      <w:r w:rsidRPr="00B87881">
        <w:rPr>
          <w:rFonts w:ascii="Arial" w:hAnsi="Arial"/>
          <w:kern w:val="10"/>
          <w:sz w:val="22"/>
          <w:szCs w:val="24"/>
          <w:lang w:val="de-CH"/>
        </w:rPr>
        <w:t>Versicherungen: Hausrat</w:t>
      </w:r>
    </w:p>
    <w:p w14:paraId="2FD6959C" w14:textId="05FBDEDB" w:rsidR="00FB7BF1" w:rsidRPr="00FB7BF1" w:rsidRDefault="003900DB" w:rsidP="00FB7BF1">
      <w:pPr>
        <w:keepNext/>
        <w:keepLines/>
        <w:numPr>
          <w:ilvl w:val="1"/>
          <w:numId w:val="0"/>
        </w:numPr>
        <w:spacing w:before="240" w:after="60"/>
        <w:outlineLvl w:val="1"/>
        <w:rPr>
          <w:rFonts w:ascii="Arial" w:hAnsi="Arial" w:cs="Arial"/>
          <w:b/>
          <w:bCs/>
          <w:iCs/>
          <w:kern w:val="10"/>
          <w:sz w:val="24"/>
          <w:szCs w:val="28"/>
          <w:lang w:val="de-CH" w:eastAsia="de-CH"/>
        </w:rPr>
      </w:pPr>
      <w:r>
        <w:rPr>
          <w:rFonts w:ascii="Arial" w:hAnsi="Arial" w:cs="Arial"/>
          <w:b/>
          <w:bCs/>
          <w:iCs/>
          <w:kern w:val="10"/>
          <w:sz w:val="24"/>
          <w:szCs w:val="28"/>
          <w:lang w:val="de-CH" w:eastAsia="de-CH"/>
        </w:rPr>
        <w:t>3.</w:t>
      </w:r>
      <w:r w:rsidR="00CC4FB6">
        <w:rPr>
          <w:rFonts w:ascii="Arial" w:hAnsi="Arial" w:cs="Arial"/>
          <w:b/>
          <w:bCs/>
          <w:iCs/>
          <w:kern w:val="10"/>
          <w:sz w:val="24"/>
          <w:szCs w:val="28"/>
          <w:lang w:val="de-CH" w:eastAsia="de-CH"/>
        </w:rPr>
        <w:t>4</w:t>
      </w:r>
      <w:r>
        <w:rPr>
          <w:rFonts w:ascii="Arial" w:hAnsi="Arial" w:cs="Arial"/>
          <w:b/>
          <w:bCs/>
          <w:iCs/>
          <w:kern w:val="10"/>
          <w:sz w:val="24"/>
          <w:szCs w:val="28"/>
          <w:lang w:val="de-CH" w:eastAsia="de-CH"/>
        </w:rPr>
        <w:t xml:space="preserve"> </w:t>
      </w:r>
      <w:proofErr w:type="gramStart"/>
      <w:r w:rsidR="00FB7BF1" w:rsidRPr="00FB7BF1">
        <w:rPr>
          <w:rFonts w:ascii="Arial" w:hAnsi="Arial" w:cs="Arial"/>
          <w:b/>
          <w:bCs/>
          <w:iCs/>
          <w:kern w:val="10"/>
          <w:sz w:val="24"/>
          <w:szCs w:val="28"/>
          <w:lang w:val="de-CH" w:eastAsia="de-CH"/>
        </w:rPr>
        <w:t>Individuell</w:t>
      </w:r>
      <w:proofErr w:type="gramEnd"/>
      <w:r w:rsidR="00FB7BF1" w:rsidRPr="00FB7BF1">
        <w:rPr>
          <w:rFonts w:ascii="Arial" w:hAnsi="Arial" w:cs="Arial"/>
          <w:b/>
          <w:bCs/>
          <w:iCs/>
          <w:kern w:val="10"/>
          <w:sz w:val="24"/>
          <w:szCs w:val="28"/>
          <w:lang w:val="de-CH" w:eastAsia="de-CH"/>
        </w:rPr>
        <w:t xml:space="preserve"> verrechnete Leistungen im stationären Angebot «Wohnen»</w:t>
      </w:r>
    </w:p>
    <w:p w14:paraId="56364328"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Folgende Leistungen sind </w:t>
      </w:r>
      <w:r w:rsidRPr="00FB7BF1">
        <w:rPr>
          <w:rFonts w:ascii="Arial" w:hAnsi="Arial"/>
          <w:i/>
          <w:kern w:val="10"/>
          <w:sz w:val="22"/>
          <w:szCs w:val="22"/>
          <w:lang w:val="de-CH" w:eastAsia="de-CH"/>
        </w:rPr>
        <w:t>nicht</w:t>
      </w:r>
      <w:r w:rsidRPr="00FB7BF1">
        <w:rPr>
          <w:rFonts w:ascii="Arial" w:hAnsi="Arial"/>
          <w:kern w:val="10"/>
          <w:sz w:val="22"/>
          <w:szCs w:val="22"/>
          <w:lang w:val="de-CH" w:eastAsia="de-CH"/>
        </w:rPr>
        <w:t xml:space="preserve"> inbegriffen und werden </w:t>
      </w:r>
      <w:r w:rsidRPr="00FB7BF1">
        <w:rPr>
          <w:rFonts w:ascii="Arial" w:hAnsi="Arial"/>
          <w:i/>
          <w:kern w:val="10"/>
          <w:sz w:val="22"/>
          <w:szCs w:val="22"/>
          <w:lang w:val="de-CH" w:eastAsia="de-CH"/>
        </w:rPr>
        <w:t>individuell</w:t>
      </w:r>
      <w:r w:rsidRPr="00FB7BF1">
        <w:rPr>
          <w:rFonts w:ascii="Arial" w:hAnsi="Arial"/>
          <w:kern w:val="10"/>
          <w:sz w:val="22"/>
          <w:szCs w:val="22"/>
          <w:lang w:val="de-CH" w:eastAsia="de-CH"/>
        </w:rPr>
        <w:t xml:space="preserve"> verrechnet:</w:t>
      </w:r>
    </w:p>
    <w:p w14:paraId="7ABB4C4A" w14:textId="5CAE8ED7" w:rsidR="00FB7BF1" w:rsidRPr="00FB7BF1" w:rsidRDefault="00FB7BF1" w:rsidP="00032108">
      <w:pPr>
        <w:numPr>
          <w:ilvl w:val="0"/>
          <w:numId w:val="8"/>
        </w:numPr>
        <w:contextualSpacing/>
        <w:rPr>
          <w:rFonts w:ascii="Arial" w:hAnsi="Arial"/>
          <w:kern w:val="10"/>
          <w:sz w:val="22"/>
          <w:szCs w:val="24"/>
          <w:lang w:val="de-CH"/>
        </w:rPr>
      </w:pPr>
      <w:r w:rsidRPr="00FB7BF1">
        <w:rPr>
          <w:rFonts w:ascii="Arial" w:hAnsi="Arial"/>
          <w:kern w:val="10"/>
          <w:sz w:val="22"/>
          <w:szCs w:val="24"/>
          <w:lang w:val="de-CH"/>
        </w:rPr>
        <w:t>Taschengeld monatlich</w:t>
      </w:r>
      <w:r w:rsidRPr="00FB7BF1">
        <w:rPr>
          <w:rFonts w:ascii="Arial" w:hAnsi="Arial"/>
          <w:kern w:val="10"/>
          <w:sz w:val="22"/>
          <w:szCs w:val="24"/>
          <w:lang w:val="de-CH"/>
        </w:rPr>
        <w:tab/>
      </w:r>
      <w:r w:rsidRPr="00FB7BF1">
        <w:rPr>
          <w:rFonts w:ascii="Arial" w:hAnsi="Arial"/>
          <w:kern w:val="10"/>
          <w:sz w:val="22"/>
          <w:szCs w:val="24"/>
          <w:lang w:val="de-CH"/>
        </w:rPr>
        <w:tab/>
      </w:r>
      <w:r w:rsidRPr="00FB7BF1">
        <w:rPr>
          <w:rFonts w:ascii="Arial" w:hAnsi="Arial"/>
          <w:kern w:val="10"/>
          <w:sz w:val="22"/>
          <w:szCs w:val="24"/>
          <w:lang w:val="de-CH"/>
        </w:rPr>
        <w:tab/>
      </w:r>
      <w:r w:rsidRPr="00FB7BF1">
        <w:rPr>
          <w:rFonts w:ascii="Arial" w:hAnsi="Arial"/>
          <w:kern w:val="10"/>
          <w:sz w:val="22"/>
          <w:szCs w:val="24"/>
          <w:lang w:val="de-CH"/>
        </w:rPr>
        <w:tab/>
      </w:r>
      <w:r w:rsidRPr="00FB7BF1">
        <w:rPr>
          <w:rFonts w:ascii="Arial" w:hAnsi="Arial"/>
          <w:kern w:val="10"/>
          <w:sz w:val="22"/>
          <w:szCs w:val="24"/>
          <w:lang w:val="de-CH"/>
        </w:rPr>
        <w:tab/>
      </w:r>
      <w:r w:rsidR="00032108">
        <w:rPr>
          <w:rFonts w:ascii="Arial" w:hAnsi="Arial"/>
          <w:kern w:val="10"/>
          <w:sz w:val="22"/>
          <w:szCs w:val="24"/>
          <w:lang w:val="de-CH"/>
        </w:rPr>
        <w:t>nach Vereinbarung</w:t>
      </w:r>
    </w:p>
    <w:p w14:paraId="05383409" w14:textId="61A97542" w:rsidR="001C25B8" w:rsidRDefault="001C25B8" w:rsidP="00032108">
      <w:pPr>
        <w:numPr>
          <w:ilvl w:val="0"/>
          <w:numId w:val="8"/>
        </w:numPr>
        <w:contextualSpacing/>
        <w:rPr>
          <w:rFonts w:ascii="Arial" w:hAnsi="Arial"/>
          <w:kern w:val="10"/>
          <w:sz w:val="22"/>
          <w:szCs w:val="24"/>
          <w:lang w:val="de-CH"/>
        </w:rPr>
      </w:pPr>
      <w:r>
        <w:rPr>
          <w:rFonts w:ascii="Arial" w:hAnsi="Arial"/>
          <w:kern w:val="10"/>
          <w:sz w:val="22"/>
          <w:szCs w:val="24"/>
          <w:lang w:val="de-CH"/>
        </w:rPr>
        <w:t>Fahrkosten (Geschäftsauto)</w:t>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t>Fr. 1.00 / km</w:t>
      </w:r>
    </w:p>
    <w:p w14:paraId="3D04487B" w14:textId="6367C34E" w:rsidR="001C25B8" w:rsidRDefault="001C25B8" w:rsidP="00032108">
      <w:pPr>
        <w:numPr>
          <w:ilvl w:val="0"/>
          <w:numId w:val="8"/>
        </w:numPr>
        <w:contextualSpacing/>
        <w:rPr>
          <w:rFonts w:ascii="Arial" w:hAnsi="Arial"/>
          <w:kern w:val="10"/>
          <w:sz w:val="22"/>
          <w:szCs w:val="24"/>
          <w:lang w:val="de-CH"/>
        </w:rPr>
      </w:pPr>
      <w:r>
        <w:rPr>
          <w:rFonts w:ascii="Arial" w:hAnsi="Arial"/>
          <w:kern w:val="10"/>
          <w:sz w:val="22"/>
          <w:szCs w:val="24"/>
          <w:lang w:val="de-CH"/>
        </w:rPr>
        <w:t>Fahrkosten (Privatauto)</w:t>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t>Fr. 0.70 / km</w:t>
      </w:r>
    </w:p>
    <w:p w14:paraId="2D04E660" w14:textId="77777777" w:rsidR="002067B9" w:rsidRDefault="002067B9" w:rsidP="002067B9">
      <w:pPr>
        <w:numPr>
          <w:ilvl w:val="0"/>
          <w:numId w:val="8"/>
        </w:numPr>
        <w:contextualSpacing/>
        <w:rPr>
          <w:rFonts w:ascii="Arial" w:hAnsi="Arial"/>
          <w:kern w:val="10"/>
          <w:sz w:val="22"/>
          <w:szCs w:val="24"/>
          <w:lang w:val="de-CH"/>
        </w:rPr>
      </w:pPr>
      <w:r>
        <w:rPr>
          <w:rFonts w:ascii="Arial" w:hAnsi="Arial"/>
          <w:kern w:val="10"/>
          <w:sz w:val="22"/>
          <w:szCs w:val="24"/>
          <w:lang w:val="de-CH"/>
        </w:rPr>
        <w:t xml:space="preserve">Begleitung durch Personal </w:t>
      </w:r>
      <w:r>
        <w:rPr>
          <w:rFonts w:ascii="Arial" w:hAnsi="Arial"/>
          <w:kern w:val="10"/>
          <w:sz w:val="22"/>
          <w:szCs w:val="24"/>
          <w:lang w:val="de-CH"/>
        </w:rPr>
        <w:br/>
        <w:t>(wenn therapeutisch erforderlich)</w:t>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t>Fr. 20.00 / Std.</w:t>
      </w:r>
    </w:p>
    <w:p w14:paraId="67E373AD" w14:textId="77777777" w:rsidR="002067B9" w:rsidRDefault="002067B9" w:rsidP="002067B9">
      <w:pPr>
        <w:numPr>
          <w:ilvl w:val="0"/>
          <w:numId w:val="8"/>
        </w:numPr>
        <w:contextualSpacing/>
        <w:rPr>
          <w:rFonts w:ascii="Arial" w:hAnsi="Arial"/>
          <w:kern w:val="10"/>
          <w:sz w:val="22"/>
          <w:szCs w:val="24"/>
          <w:lang w:val="de-CH"/>
        </w:rPr>
      </w:pPr>
      <w:r>
        <w:rPr>
          <w:rFonts w:ascii="Arial" w:hAnsi="Arial"/>
          <w:kern w:val="10"/>
          <w:sz w:val="22"/>
          <w:szCs w:val="24"/>
          <w:lang w:val="de-CH"/>
        </w:rPr>
        <w:t xml:space="preserve">Kleidergeld, persönliche Auslagen etc. </w:t>
      </w:r>
      <w:r>
        <w:rPr>
          <w:rFonts w:ascii="Arial" w:hAnsi="Arial"/>
          <w:kern w:val="10"/>
          <w:sz w:val="22"/>
          <w:szCs w:val="24"/>
          <w:lang w:val="de-CH"/>
        </w:rPr>
        <w:br/>
        <w:t>(nach Absprache mit gesetzlichem Vertreter)</w:t>
      </w:r>
      <w:r>
        <w:rPr>
          <w:rFonts w:ascii="Arial" w:hAnsi="Arial"/>
          <w:kern w:val="10"/>
          <w:sz w:val="22"/>
          <w:szCs w:val="24"/>
          <w:lang w:val="de-CH"/>
        </w:rPr>
        <w:tab/>
      </w:r>
      <w:r>
        <w:rPr>
          <w:rFonts w:ascii="Arial" w:hAnsi="Arial"/>
          <w:kern w:val="10"/>
          <w:sz w:val="22"/>
          <w:szCs w:val="24"/>
          <w:lang w:val="de-CH"/>
        </w:rPr>
        <w:tab/>
        <w:t>nach Aufwand</w:t>
      </w:r>
    </w:p>
    <w:p w14:paraId="31A25A5E" w14:textId="77777777" w:rsidR="002067B9" w:rsidRDefault="002067B9" w:rsidP="002067B9">
      <w:pPr>
        <w:numPr>
          <w:ilvl w:val="0"/>
          <w:numId w:val="8"/>
        </w:numPr>
        <w:contextualSpacing/>
        <w:rPr>
          <w:rFonts w:ascii="Arial" w:hAnsi="Arial"/>
          <w:kern w:val="10"/>
          <w:sz w:val="22"/>
          <w:szCs w:val="24"/>
          <w:lang w:val="de-CH"/>
        </w:rPr>
      </w:pPr>
      <w:r>
        <w:rPr>
          <w:rFonts w:ascii="Arial" w:hAnsi="Arial"/>
          <w:kern w:val="10"/>
          <w:sz w:val="22"/>
          <w:szCs w:val="24"/>
          <w:lang w:val="de-CH"/>
        </w:rPr>
        <w:t>Ferien (obligatorisch) pro Jahr</w:t>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r>
      <w:r>
        <w:rPr>
          <w:rFonts w:ascii="Arial" w:hAnsi="Arial"/>
          <w:kern w:val="10"/>
          <w:sz w:val="22"/>
          <w:szCs w:val="24"/>
          <w:lang w:val="de-CH"/>
        </w:rPr>
        <w:tab/>
        <w:t>Fr. 500.00</w:t>
      </w:r>
    </w:p>
    <w:p w14:paraId="675F92D4" w14:textId="42D44BAF" w:rsidR="001C25B8" w:rsidRDefault="001C25B8" w:rsidP="00032108">
      <w:pPr>
        <w:numPr>
          <w:ilvl w:val="0"/>
          <w:numId w:val="8"/>
        </w:numPr>
        <w:contextualSpacing/>
        <w:rPr>
          <w:rFonts w:ascii="Arial" w:hAnsi="Arial"/>
          <w:kern w:val="10"/>
          <w:sz w:val="22"/>
          <w:szCs w:val="24"/>
          <w:lang w:val="de-CH"/>
        </w:rPr>
      </w:pPr>
      <w:r>
        <w:rPr>
          <w:rFonts w:ascii="Arial" w:hAnsi="Arial"/>
          <w:kern w:val="10"/>
          <w:sz w:val="22"/>
          <w:szCs w:val="24"/>
          <w:lang w:val="de-CH"/>
        </w:rPr>
        <w:t>Schlüsseldepot (wird bei Rückgabe zurückerstattet)</w:t>
      </w:r>
      <w:r>
        <w:rPr>
          <w:rFonts w:ascii="Arial" w:hAnsi="Arial"/>
          <w:kern w:val="10"/>
          <w:sz w:val="22"/>
          <w:szCs w:val="24"/>
          <w:lang w:val="de-CH"/>
        </w:rPr>
        <w:tab/>
        <w:t>Fr. 60.00</w:t>
      </w:r>
    </w:p>
    <w:p w14:paraId="0FFDCB0E" w14:textId="77777777" w:rsidR="002067B9" w:rsidRPr="00032108" w:rsidRDefault="002067B9" w:rsidP="002067B9">
      <w:pPr>
        <w:numPr>
          <w:ilvl w:val="0"/>
          <w:numId w:val="8"/>
        </w:numPr>
        <w:contextualSpacing/>
        <w:rPr>
          <w:rFonts w:ascii="Arial" w:hAnsi="Arial"/>
          <w:kern w:val="10"/>
          <w:sz w:val="22"/>
          <w:szCs w:val="24"/>
          <w:lang w:val="de-CH"/>
        </w:rPr>
      </w:pPr>
      <w:r>
        <w:rPr>
          <w:rFonts w:ascii="Arial" w:hAnsi="Arial" w:cs="Arial"/>
          <w:kern w:val="10"/>
          <w:sz w:val="22"/>
          <w:szCs w:val="24"/>
          <w:lang w:val="de-CH"/>
        </w:rPr>
        <w:t xml:space="preserve">Endreinigung Zimmer </w:t>
      </w:r>
      <w:r>
        <w:rPr>
          <w:rFonts w:ascii="Arial" w:hAnsi="Arial" w:cs="Arial"/>
          <w:kern w:val="10"/>
          <w:sz w:val="22"/>
          <w:szCs w:val="24"/>
          <w:lang w:val="de-CH"/>
        </w:rPr>
        <w:tab/>
      </w:r>
      <w:r>
        <w:rPr>
          <w:rFonts w:ascii="Arial" w:hAnsi="Arial" w:cs="Arial"/>
          <w:kern w:val="10"/>
          <w:sz w:val="22"/>
          <w:szCs w:val="24"/>
          <w:lang w:val="de-CH"/>
        </w:rPr>
        <w:tab/>
      </w:r>
      <w:r>
        <w:rPr>
          <w:rFonts w:ascii="Arial" w:hAnsi="Arial" w:cs="Arial"/>
          <w:kern w:val="10"/>
          <w:sz w:val="22"/>
          <w:szCs w:val="24"/>
          <w:lang w:val="de-CH"/>
        </w:rPr>
        <w:tab/>
      </w:r>
      <w:r>
        <w:rPr>
          <w:rFonts w:ascii="Arial" w:hAnsi="Arial" w:cs="Arial"/>
          <w:kern w:val="10"/>
          <w:sz w:val="22"/>
          <w:szCs w:val="24"/>
          <w:lang w:val="de-CH"/>
        </w:rPr>
        <w:tab/>
      </w:r>
      <w:r>
        <w:rPr>
          <w:rFonts w:ascii="Arial" w:hAnsi="Arial" w:cs="Arial"/>
          <w:kern w:val="10"/>
          <w:sz w:val="22"/>
          <w:szCs w:val="24"/>
          <w:lang w:val="de-CH"/>
        </w:rPr>
        <w:tab/>
        <w:t>Fr. 150.00</w:t>
      </w:r>
    </w:p>
    <w:p w14:paraId="16638B6A" w14:textId="77777777" w:rsidR="002067B9" w:rsidRPr="00032108" w:rsidRDefault="002067B9" w:rsidP="002067B9">
      <w:pPr>
        <w:ind w:left="720"/>
        <w:contextualSpacing/>
        <w:rPr>
          <w:rFonts w:ascii="Arial" w:hAnsi="Arial"/>
          <w:kern w:val="10"/>
          <w:sz w:val="22"/>
          <w:szCs w:val="24"/>
          <w:lang w:val="de-CH"/>
        </w:rPr>
      </w:pPr>
      <w:r w:rsidRPr="00032108">
        <w:rPr>
          <w:rFonts w:ascii="Arial" w:hAnsi="Arial" w:cs="Arial"/>
          <w:kern w:val="10"/>
          <w:sz w:val="22"/>
          <w:szCs w:val="24"/>
          <w:lang w:val="de-CH"/>
        </w:rPr>
        <w:t xml:space="preserve">Überdurchschnittliche Abnützung oder Beschädigung </w:t>
      </w:r>
      <w:r w:rsidRPr="00032108">
        <w:rPr>
          <w:rFonts w:ascii="Arial" w:hAnsi="Arial" w:cs="Arial"/>
          <w:kern w:val="10"/>
          <w:sz w:val="22"/>
          <w:szCs w:val="24"/>
          <w:lang w:val="de-CH"/>
        </w:rPr>
        <w:br/>
        <w:t xml:space="preserve">von Einrichtungen gehen zusätzlich zu Lasten der </w:t>
      </w:r>
      <w:r w:rsidRPr="00032108">
        <w:rPr>
          <w:rFonts w:ascii="Arial" w:hAnsi="Arial" w:cs="Arial"/>
          <w:kern w:val="10"/>
          <w:sz w:val="22"/>
          <w:szCs w:val="24"/>
          <w:lang w:val="de-CH"/>
        </w:rPr>
        <w:br/>
        <w:t>Bewohnerin bzw. des Bewohners</w:t>
      </w:r>
      <w:r w:rsidRPr="00032108">
        <w:rPr>
          <w:rFonts w:ascii="Arial" w:hAnsi="Arial" w:cs="Arial"/>
          <w:kern w:val="10"/>
          <w:sz w:val="22"/>
          <w:szCs w:val="24"/>
          <w:lang w:val="de-CH"/>
        </w:rPr>
        <w:tab/>
      </w:r>
      <w:r>
        <w:rPr>
          <w:rFonts w:ascii="Arial" w:hAnsi="Arial" w:cs="Arial"/>
          <w:kern w:val="10"/>
          <w:sz w:val="22"/>
          <w:szCs w:val="24"/>
          <w:lang w:val="de-CH"/>
        </w:rPr>
        <w:tab/>
      </w:r>
      <w:r>
        <w:rPr>
          <w:rFonts w:ascii="Arial" w:hAnsi="Arial" w:cs="Arial"/>
          <w:kern w:val="10"/>
          <w:sz w:val="22"/>
          <w:szCs w:val="24"/>
          <w:lang w:val="de-CH"/>
        </w:rPr>
        <w:tab/>
      </w:r>
      <w:r>
        <w:rPr>
          <w:rFonts w:ascii="Arial" w:hAnsi="Arial" w:cs="Arial"/>
          <w:kern w:val="10"/>
          <w:sz w:val="22"/>
          <w:szCs w:val="24"/>
          <w:lang w:val="de-CH"/>
        </w:rPr>
        <w:tab/>
      </w:r>
      <w:r w:rsidRPr="00032108">
        <w:rPr>
          <w:rFonts w:ascii="Arial" w:hAnsi="Arial" w:cs="Arial"/>
          <w:kern w:val="10"/>
          <w:sz w:val="22"/>
          <w:szCs w:val="24"/>
          <w:lang w:val="de-CH"/>
        </w:rPr>
        <w:t>nach Aufwand</w:t>
      </w:r>
    </w:p>
    <w:p w14:paraId="38C72FA3" w14:textId="77777777" w:rsidR="00032108" w:rsidRDefault="00032108" w:rsidP="00032108">
      <w:pPr>
        <w:ind w:left="720"/>
        <w:contextualSpacing/>
        <w:rPr>
          <w:rFonts w:ascii="Arial" w:hAnsi="Arial"/>
          <w:kern w:val="10"/>
          <w:sz w:val="22"/>
          <w:szCs w:val="24"/>
          <w:lang w:val="de-CH"/>
        </w:rPr>
      </w:pPr>
    </w:p>
    <w:p w14:paraId="5DCC89B4" w14:textId="41151A94" w:rsidR="001C25B8" w:rsidRPr="00FB7BF1" w:rsidRDefault="001C25B8" w:rsidP="001C25B8">
      <w:pPr>
        <w:ind w:left="360"/>
        <w:contextualSpacing/>
        <w:rPr>
          <w:rFonts w:ascii="Arial" w:hAnsi="Arial"/>
          <w:kern w:val="10"/>
          <w:sz w:val="22"/>
          <w:szCs w:val="24"/>
          <w:lang w:val="de-CH"/>
        </w:rPr>
      </w:pPr>
    </w:p>
    <w:p w14:paraId="11D41873" w14:textId="77777777" w:rsidR="00FB7BF1" w:rsidRPr="002067B9"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2067B9">
        <w:rPr>
          <w:rFonts w:ascii="Arial Black" w:hAnsi="Arial Black" w:cs="Arial"/>
          <w:bCs/>
          <w:kern w:val="10"/>
          <w:sz w:val="24"/>
          <w:szCs w:val="32"/>
          <w:lang w:val="de-CH" w:eastAsia="de-CH"/>
        </w:rPr>
        <w:lastRenderedPageBreak/>
        <w:t xml:space="preserve">Kostenbeteiligung für erwachsene Personen mit Behinderungen: Angebot «Tagesstruktur ohne Lohn» </w:t>
      </w:r>
    </w:p>
    <w:p w14:paraId="10BA9C77" w14:textId="77777777" w:rsidR="00FB7BF1" w:rsidRPr="002067B9" w:rsidRDefault="00FB7BF1" w:rsidP="00FB7BF1">
      <w:pPr>
        <w:rPr>
          <w:rFonts w:ascii="Arial" w:hAnsi="Arial"/>
          <w:kern w:val="10"/>
          <w:sz w:val="22"/>
          <w:szCs w:val="22"/>
          <w:lang w:val="de-CH" w:eastAsia="de-CH"/>
        </w:rPr>
      </w:pPr>
      <w:r w:rsidRPr="002067B9">
        <w:rPr>
          <w:rFonts w:ascii="Arial" w:hAnsi="Arial"/>
          <w:kern w:val="10"/>
          <w:sz w:val="22"/>
          <w:szCs w:val="22"/>
          <w:lang w:val="de-CH" w:eastAsia="de-CH"/>
        </w:rPr>
        <w:t xml:space="preserve">Die Kostenbeteiligung gilt nur für Personen, die </w:t>
      </w:r>
      <w:r w:rsidRPr="002067B9">
        <w:rPr>
          <w:rFonts w:ascii="Arial" w:hAnsi="Arial"/>
          <w:i/>
          <w:kern w:val="10"/>
          <w:sz w:val="22"/>
          <w:szCs w:val="22"/>
          <w:lang w:val="de-CH" w:eastAsia="de-CH"/>
        </w:rPr>
        <w:t xml:space="preserve">ausserhalb eines </w:t>
      </w:r>
      <w:r w:rsidRPr="002067B9">
        <w:rPr>
          <w:rFonts w:ascii="Arial" w:hAnsi="Arial"/>
          <w:kern w:val="10"/>
          <w:sz w:val="22"/>
          <w:szCs w:val="22"/>
          <w:lang w:val="de-CH" w:eastAsia="de-CH"/>
        </w:rPr>
        <w:t>stationären SEG- oder IVSE-Wohnangebots leben und in dieser Einrichtung eine Tagesstruktur ohne Lohn besuchen, wenn sie über Mittag Betreuung und/oder Verpflegung benötigen. Dies gilt auch für Personen, die in einem stationären Angebot in einem anderen Kanton wohnen.</w:t>
      </w:r>
    </w:p>
    <w:p w14:paraId="62114CE8" w14:textId="77777777" w:rsidR="00FB7BF1" w:rsidRPr="002067B9" w:rsidRDefault="00FB7BF1" w:rsidP="00FB7BF1">
      <w:pPr>
        <w:rPr>
          <w:rFonts w:ascii="Arial" w:hAnsi="Arial"/>
          <w:kern w:val="10"/>
          <w:sz w:val="22"/>
          <w:szCs w:val="22"/>
          <w:lang w:val="de-CH" w:eastAsia="de-CH"/>
        </w:rPr>
      </w:pPr>
      <w:r w:rsidRPr="002067B9">
        <w:rPr>
          <w:rFonts w:ascii="Arial" w:hAnsi="Arial"/>
          <w:kern w:val="10"/>
          <w:sz w:val="22"/>
          <w:szCs w:val="22"/>
          <w:lang w:val="de-CH" w:eastAsia="de-CH"/>
        </w:rPr>
        <w:t>Sie gilt ab dem ersten Tag des Monats, der auf die Vollendung des 18. Lebensjahres folgt und pro vereinbartem Beschäftigungstag, an dem üblicherweise ein Mittagessen bezogen wird.</w:t>
      </w:r>
    </w:p>
    <w:p w14:paraId="4CC04BA7" w14:textId="77777777" w:rsidR="00FB7BF1" w:rsidRPr="002067B9" w:rsidRDefault="00FB7BF1" w:rsidP="00FB7BF1">
      <w:pPr>
        <w:rPr>
          <w:rFonts w:ascii="Arial" w:hAnsi="Arial"/>
          <w:kern w:val="10"/>
          <w:sz w:val="22"/>
          <w:szCs w:val="22"/>
          <w:lang w:val="de-CH" w:eastAsia="de-CH"/>
        </w:rPr>
      </w:pPr>
    </w:p>
    <w:p w14:paraId="08232AAD" w14:textId="77777777" w:rsidR="00FB7BF1" w:rsidRPr="002067B9" w:rsidRDefault="00FB7BF1" w:rsidP="00FB7BF1">
      <w:pPr>
        <w:rPr>
          <w:rFonts w:ascii="Arial" w:hAnsi="Arial"/>
          <w:kern w:val="10"/>
          <w:sz w:val="22"/>
          <w:szCs w:val="22"/>
          <w:lang w:val="de-CH" w:eastAsia="de-CH"/>
        </w:rPr>
      </w:pPr>
      <w:r w:rsidRPr="002067B9">
        <w:rPr>
          <w:rFonts w:ascii="Arial" w:hAnsi="Arial"/>
          <w:kern w:val="10"/>
          <w:sz w:val="22"/>
          <w:szCs w:val="22"/>
          <w:lang w:val="de-CH" w:eastAsia="de-CH"/>
        </w:rPr>
        <w:t>In der Tagesstruktur beträgt die Kostenbeteiligung pro Tag:</w:t>
      </w:r>
    </w:p>
    <w:p w14:paraId="4828DCA1" w14:textId="77777777" w:rsidR="00FB7BF1" w:rsidRPr="002067B9" w:rsidRDefault="00FB7BF1" w:rsidP="00FB7BF1">
      <w:pPr>
        <w:numPr>
          <w:ilvl w:val="0"/>
          <w:numId w:val="6"/>
        </w:numPr>
        <w:contextualSpacing/>
        <w:rPr>
          <w:rFonts w:ascii="Arial" w:hAnsi="Arial"/>
          <w:kern w:val="10"/>
          <w:sz w:val="22"/>
          <w:szCs w:val="24"/>
          <w:lang w:val="de-CH"/>
        </w:rPr>
      </w:pPr>
      <w:r w:rsidRPr="002067B9">
        <w:rPr>
          <w:rFonts w:ascii="Arial" w:hAnsi="Arial"/>
          <w:kern w:val="10"/>
          <w:sz w:val="22"/>
          <w:szCs w:val="24"/>
          <w:lang w:val="de-CH"/>
        </w:rPr>
        <w:t>35.- für qualifizierte individuelle Betreuung über Mittag</w:t>
      </w:r>
    </w:p>
    <w:p w14:paraId="62A4E5A7" w14:textId="77777777" w:rsidR="00FB7BF1" w:rsidRPr="002067B9" w:rsidRDefault="00FB7BF1" w:rsidP="00FB7BF1">
      <w:pPr>
        <w:numPr>
          <w:ilvl w:val="0"/>
          <w:numId w:val="6"/>
        </w:numPr>
        <w:contextualSpacing/>
        <w:rPr>
          <w:rFonts w:ascii="Arial" w:hAnsi="Arial"/>
          <w:kern w:val="10"/>
          <w:sz w:val="22"/>
          <w:szCs w:val="24"/>
          <w:lang w:val="de-CH"/>
        </w:rPr>
      </w:pPr>
      <w:r w:rsidRPr="002067B9">
        <w:rPr>
          <w:rFonts w:ascii="Arial" w:hAnsi="Arial"/>
          <w:kern w:val="10"/>
          <w:sz w:val="22"/>
          <w:szCs w:val="24"/>
          <w:lang w:val="de-CH"/>
        </w:rPr>
        <w:t>10.- für das Mittagessen</w:t>
      </w:r>
    </w:p>
    <w:p w14:paraId="6B0B1759" w14:textId="77777777" w:rsidR="00FB7BF1" w:rsidRPr="002067B9" w:rsidRDefault="00FB7BF1" w:rsidP="00FB7BF1">
      <w:pPr>
        <w:rPr>
          <w:rFonts w:ascii="Arial" w:hAnsi="Arial"/>
          <w:kern w:val="10"/>
          <w:sz w:val="22"/>
          <w:szCs w:val="22"/>
          <w:lang w:val="de-CH" w:eastAsia="de-CH"/>
        </w:rPr>
      </w:pPr>
    </w:p>
    <w:p w14:paraId="238BAFD0" w14:textId="4C7B472C" w:rsidR="00FB7BF1" w:rsidRPr="002067B9" w:rsidRDefault="00FB7BF1" w:rsidP="00FB7BF1">
      <w:pPr>
        <w:rPr>
          <w:rFonts w:ascii="Arial" w:hAnsi="Arial"/>
          <w:kern w:val="10"/>
          <w:sz w:val="22"/>
          <w:szCs w:val="22"/>
          <w:lang w:val="de-CH" w:eastAsia="de-CH"/>
        </w:rPr>
      </w:pPr>
      <w:r w:rsidRPr="002067B9">
        <w:rPr>
          <w:rFonts w:ascii="Arial" w:hAnsi="Arial"/>
          <w:kern w:val="10"/>
          <w:sz w:val="22"/>
          <w:szCs w:val="22"/>
          <w:lang w:val="de-CH" w:eastAsia="de-CH"/>
        </w:rPr>
        <w:t xml:space="preserve">Die Kostenbeteiligung für die Tagesstruktur ist </w:t>
      </w:r>
      <w:r w:rsidRPr="002067B9">
        <w:rPr>
          <w:rFonts w:ascii="Arial" w:hAnsi="Arial"/>
          <w:i/>
          <w:kern w:val="10"/>
          <w:sz w:val="22"/>
          <w:szCs w:val="22"/>
          <w:lang w:val="de-CH" w:eastAsia="de-CH"/>
        </w:rPr>
        <w:t>nicht</w:t>
      </w:r>
      <w:r w:rsidRPr="002067B9">
        <w:rPr>
          <w:rFonts w:ascii="Arial" w:hAnsi="Arial"/>
          <w:kern w:val="10"/>
          <w:sz w:val="22"/>
          <w:szCs w:val="22"/>
          <w:lang w:val="de-CH" w:eastAsia="de-CH"/>
        </w:rPr>
        <w:t xml:space="preserve"> geschuldet an Tagen, an denen die genannte Leistung ohne Verschulden der Person mit Behinderung (z.B. Krankheit, Unfall o.ä.) nicht in Anspruch genommen wird; dies kann für eine bestimmte Person oder ein Angebot auch immer der Fall sein.</w:t>
      </w:r>
      <w:r w:rsidR="006A303D" w:rsidRPr="002067B9">
        <w:rPr>
          <w:rFonts w:ascii="Arial" w:hAnsi="Arial"/>
          <w:kern w:val="10"/>
          <w:sz w:val="22"/>
          <w:szCs w:val="22"/>
          <w:lang w:val="de-CH" w:eastAsia="de-CH"/>
        </w:rPr>
        <w:t xml:space="preserve">  </w:t>
      </w:r>
      <w:r w:rsidR="006A303D" w:rsidRPr="002067B9">
        <w:rPr>
          <w:rFonts w:ascii="Arial" w:hAnsi="Arial"/>
          <w:kern w:val="10"/>
          <w:sz w:val="22"/>
          <w:szCs w:val="22"/>
          <w:lang w:val="de-CH" w:eastAsia="de-CH"/>
        </w:rPr>
        <w:tab/>
      </w:r>
    </w:p>
    <w:p w14:paraId="2DB6CBC9" w14:textId="77777777" w:rsidR="0065344D" w:rsidRPr="002067B9" w:rsidRDefault="0065344D" w:rsidP="00FB7BF1">
      <w:pPr>
        <w:rPr>
          <w:rFonts w:ascii="Arial" w:hAnsi="Arial"/>
          <w:kern w:val="10"/>
          <w:sz w:val="22"/>
          <w:szCs w:val="22"/>
          <w:lang w:val="de-CH" w:eastAsia="de-CH"/>
        </w:rPr>
      </w:pPr>
    </w:p>
    <w:p w14:paraId="4B7591C7" w14:textId="77777777" w:rsidR="00FB7BF1" w:rsidRPr="00FB7BF1"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FB7BF1">
        <w:rPr>
          <w:rFonts w:ascii="Arial Black" w:hAnsi="Arial Black" w:cs="Arial"/>
          <w:bCs/>
          <w:kern w:val="10"/>
          <w:sz w:val="24"/>
          <w:szCs w:val="32"/>
          <w:lang w:val="de-CH" w:eastAsia="de-CH"/>
        </w:rPr>
        <w:t>Todesfall</w:t>
      </w:r>
    </w:p>
    <w:p w14:paraId="7866590E"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Die Rentenzahlungen erfolgen nach dem Todestag bis zum Ende des Monats, daher wird der ganze Monat in Rechnung gestellt und die Tage nach dem Todestag nachträglich als Ermässigung (siehe oben Kapitel Ermässigung bei Abwesenheiten) gutgeschrieben.</w:t>
      </w:r>
    </w:p>
    <w:p w14:paraId="09735F28" w14:textId="77777777" w:rsidR="00FB7BF1" w:rsidRPr="00FB7BF1"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FB7BF1">
        <w:rPr>
          <w:rFonts w:ascii="Arial Black" w:hAnsi="Arial Black" w:cs="Arial"/>
          <w:bCs/>
          <w:kern w:val="10"/>
          <w:sz w:val="24"/>
          <w:szCs w:val="32"/>
          <w:lang w:val="de-CH" w:eastAsia="de-CH"/>
        </w:rPr>
        <w:t>Schnuppertage</w:t>
      </w:r>
    </w:p>
    <w:p w14:paraId="2A1638C1" w14:textId="77777777"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Für Schnuppertage wird keine Kostenbeteiligung verrechnet (gilt für Wohnen und Tagesstruktur).</w:t>
      </w:r>
    </w:p>
    <w:p w14:paraId="318C18EF" w14:textId="77777777" w:rsidR="00FB7BF1" w:rsidRPr="00FB7BF1" w:rsidRDefault="00FB7BF1" w:rsidP="00FB7BF1">
      <w:pPr>
        <w:pStyle w:val="Listenabsatz"/>
        <w:keepNext/>
        <w:keepLines/>
        <w:numPr>
          <w:ilvl w:val="0"/>
          <w:numId w:val="9"/>
        </w:numPr>
        <w:spacing w:before="240" w:after="120"/>
        <w:ind w:left="284" w:hanging="284"/>
        <w:outlineLvl w:val="0"/>
        <w:rPr>
          <w:rFonts w:ascii="Arial Black" w:hAnsi="Arial Black" w:cs="Arial"/>
          <w:bCs/>
          <w:kern w:val="10"/>
          <w:sz w:val="24"/>
          <w:szCs w:val="32"/>
          <w:lang w:val="de-CH" w:eastAsia="de-CH"/>
        </w:rPr>
      </w:pPr>
      <w:r w:rsidRPr="00FB7BF1">
        <w:rPr>
          <w:rFonts w:ascii="Arial Black" w:hAnsi="Arial Black" w:cs="Arial"/>
          <w:bCs/>
          <w:kern w:val="10"/>
          <w:sz w:val="24"/>
          <w:szCs w:val="32"/>
          <w:lang w:val="de-CH" w:eastAsia="de-CH"/>
        </w:rPr>
        <w:t>Rechnungsstellung</w:t>
      </w:r>
    </w:p>
    <w:p w14:paraId="66A553FA" w14:textId="595D9E5F" w:rsidR="00FB7BF1" w:rsidRPr="00FB7BF1" w:rsidRDefault="00FB7BF1" w:rsidP="00FB7BF1">
      <w:pPr>
        <w:rPr>
          <w:rFonts w:ascii="Arial" w:hAnsi="Arial"/>
          <w:kern w:val="10"/>
          <w:sz w:val="22"/>
          <w:szCs w:val="22"/>
          <w:lang w:val="de-CH" w:eastAsia="de-CH"/>
        </w:rPr>
      </w:pPr>
      <w:r w:rsidRPr="00FB7BF1">
        <w:rPr>
          <w:rFonts w:ascii="Arial" w:hAnsi="Arial"/>
          <w:kern w:val="10"/>
          <w:sz w:val="22"/>
          <w:szCs w:val="22"/>
          <w:lang w:val="de-CH" w:eastAsia="de-CH"/>
        </w:rPr>
        <w:t xml:space="preserve">Die Rechnungsstellung erfolgt monatlich, jeweils bis am </w:t>
      </w:r>
      <w:r w:rsidR="0065344D">
        <w:rPr>
          <w:rFonts w:ascii="Arial" w:hAnsi="Arial"/>
          <w:kern w:val="10"/>
          <w:sz w:val="22"/>
          <w:szCs w:val="22"/>
          <w:lang w:val="de-CH" w:eastAsia="de-CH"/>
        </w:rPr>
        <w:t>15.</w:t>
      </w:r>
      <w:r w:rsidRPr="00FB7BF1">
        <w:rPr>
          <w:rFonts w:ascii="Arial" w:hAnsi="Arial"/>
          <w:kern w:val="10"/>
          <w:sz w:val="22"/>
          <w:szCs w:val="22"/>
          <w:lang w:val="de-CH" w:eastAsia="de-CH"/>
        </w:rPr>
        <w:t xml:space="preserve"> des Folgemonats. Die Rechnung ist innert </w:t>
      </w:r>
      <w:r w:rsidR="0065344D">
        <w:rPr>
          <w:rFonts w:ascii="Arial" w:hAnsi="Arial"/>
          <w:kern w:val="10"/>
          <w:sz w:val="22"/>
          <w:szCs w:val="22"/>
          <w:lang w:val="de-CH" w:eastAsia="de-CH"/>
        </w:rPr>
        <w:t>3</w:t>
      </w:r>
      <w:r w:rsidR="0065344D">
        <w:rPr>
          <w:rFonts w:ascii="Arial" w:hAnsi="Arial" w:cs="Arial"/>
          <w:kern w:val="10"/>
          <w:sz w:val="22"/>
          <w:szCs w:val="22"/>
          <w:lang w:val="de-CH" w:eastAsia="de-CH"/>
        </w:rPr>
        <w:t>0</w:t>
      </w:r>
      <w:r w:rsidRPr="00FB7BF1">
        <w:rPr>
          <w:rFonts w:ascii="Arial" w:hAnsi="Arial"/>
          <w:kern w:val="10"/>
          <w:sz w:val="22"/>
          <w:szCs w:val="22"/>
          <w:lang w:val="de-CH" w:eastAsia="de-CH"/>
        </w:rPr>
        <w:t xml:space="preserve"> Tagen zu bezahlen.</w:t>
      </w:r>
    </w:p>
    <w:p w14:paraId="6F937EC6" w14:textId="77777777" w:rsidR="00FB7BF1" w:rsidRPr="00FB7BF1" w:rsidRDefault="00FB7BF1" w:rsidP="00FB7BF1">
      <w:pPr>
        <w:rPr>
          <w:rFonts w:ascii="Arial" w:hAnsi="Arial"/>
          <w:kern w:val="10"/>
          <w:sz w:val="22"/>
          <w:szCs w:val="22"/>
          <w:lang w:val="de-CH" w:eastAsia="de-CH"/>
        </w:rPr>
      </w:pPr>
    </w:p>
    <w:p w14:paraId="087373C9" w14:textId="77919706" w:rsidR="00FB7BF1" w:rsidRDefault="00FB7BF1" w:rsidP="00FB7BF1">
      <w:pPr>
        <w:rPr>
          <w:rFonts w:ascii="Arial" w:hAnsi="Arial"/>
          <w:kern w:val="10"/>
          <w:sz w:val="18"/>
          <w:szCs w:val="18"/>
          <w:lang w:val="de-CH" w:eastAsia="de-CH"/>
        </w:rPr>
      </w:pPr>
      <w:r w:rsidRPr="00FB7BF1">
        <w:rPr>
          <w:rFonts w:ascii="Arial" w:hAnsi="Arial"/>
          <w:kern w:val="10"/>
          <w:sz w:val="18"/>
          <w:szCs w:val="18"/>
          <w:lang w:val="de-CH" w:eastAsia="de-CH"/>
        </w:rPr>
        <w:t>* Die HE zur AHV mit Besitzstand kommt zur Anwendung, wenn die Person beim Erreichen des AHV-Alters bereits eine HE zur IV bezog.</w:t>
      </w:r>
    </w:p>
    <w:p w14:paraId="275BAC54" w14:textId="02EEE2C5" w:rsidR="0065344D" w:rsidRDefault="0065344D" w:rsidP="00FB7BF1">
      <w:pPr>
        <w:rPr>
          <w:rFonts w:ascii="Arial" w:hAnsi="Arial"/>
          <w:kern w:val="10"/>
          <w:sz w:val="18"/>
          <w:szCs w:val="18"/>
          <w:lang w:val="de-CH" w:eastAsia="de-CH"/>
        </w:rPr>
      </w:pPr>
    </w:p>
    <w:p w14:paraId="217E4149" w14:textId="039B5D53" w:rsidR="0065344D" w:rsidRDefault="0065344D" w:rsidP="00FB7BF1">
      <w:pPr>
        <w:rPr>
          <w:rFonts w:ascii="Arial" w:hAnsi="Arial"/>
          <w:kern w:val="10"/>
          <w:sz w:val="18"/>
          <w:szCs w:val="18"/>
          <w:lang w:val="de-CH" w:eastAsia="de-CH"/>
        </w:rPr>
      </w:pPr>
    </w:p>
    <w:p w14:paraId="7A57EE6C" w14:textId="77777777" w:rsidR="0065344D" w:rsidRPr="00FB7BF1" w:rsidRDefault="0065344D" w:rsidP="00FB7BF1">
      <w:pPr>
        <w:rPr>
          <w:rFonts w:ascii="Arial" w:hAnsi="Arial"/>
          <w:kern w:val="10"/>
          <w:sz w:val="18"/>
          <w:szCs w:val="18"/>
          <w:lang w:val="de-CH" w:eastAsia="de-CH"/>
        </w:rPr>
      </w:pPr>
    </w:p>
    <w:p w14:paraId="4E618CB9" w14:textId="77777777" w:rsidR="00FB7BF1" w:rsidRPr="00FB7BF1" w:rsidRDefault="00FB7BF1" w:rsidP="00FD1AC0">
      <w:pPr>
        <w:ind w:left="142"/>
        <w:rPr>
          <w:rFonts w:ascii="Arial" w:hAnsi="Arial" w:cs="Arial"/>
          <w:sz w:val="22"/>
          <w:szCs w:val="22"/>
          <w:lang w:val="de-CH"/>
        </w:rPr>
      </w:pPr>
    </w:p>
    <w:p w14:paraId="6019A7FA" w14:textId="77777777" w:rsidR="00772F4E" w:rsidRDefault="00772F4E" w:rsidP="008107BB">
      <w:pPr>
        <w:pStyle w:val="Textkrper"/>
        <w:ind w:left="142"/>
        <w:rPr>
          <w:rFonts w:ascii="Arial" w:hAnsi="Arial" w:cs="Arial"/>
          <w:sz w:val="22"/>
          <w:szCs w:val="22"/>
        </w:rPr>
      </w:pPr>
    </w:p>
    <w:p w14:paraId="7514ED86" w14:textId="05B4C7D3" w:rsidR="00772F4E" w:rsidRDefault="00772F4E" w:rsidP="008107BB">
      <w:pPr>
        <w:pStyle w:val="Textkrper"/>
        <w:ind w:left="142"/>
        <w:rPr>
          <w:rFonts w:ascii="Arial" w:hAnsi="Arial" w:cs="Arial"/>
          <w:sz w:val="22"/>
          <w:szCs w:val="22"/>
        </w:rPr>
      </w:pPr>
      <w:r>
        <w:rPr>
          <w:rFonts w:ascii="Arial" w:hAnsi="Arial" w:cs="Arial"/>
          <w:sz w:val="22"/>
          <w:szCs w:val="22"/>
        </w:rPr>
        <w:t xml:space="preserve">Langnau, </w:t>
      </w:r>
      <w:r w:rsidR="0065344D">
        <w:rPr>
          <w:rFonts w:ascii="Arial" w:hAnsi="Arial" w:cs="Arial"/>
          <w:sz w:val="22"/>
          <w:szCs w:val="22"/>
        </w:rPr>
        <w:t>2</w:t>
      </w:r>
      <w:r w:rsidR="002067B9">
        <w:rPr>
          <w:rFonts w:ascii="Arial" w:hAnsi="Arial" w:cs="Arial"/>
          <w:sz w:val="22"/>
          <w:szCs w:val="22"/>
        </w:rPr>
        <w:t>7</w:t>
      </w:r>
      <w:r w:rsidR="0065344D">
        <w:rPr>
          <w:rFonts w:ascii="Arial" w:hAnsi="Arial" w:cs="Arial"/>
          <w:sz w:val="22"/>
          <w:szCs w:val="22"/>
        </w:rPr>
        <w:t>. November</w:t>
      </w:r>
      <w:r w:rsidR="00374666">
        <w:rPr>
          <w:rFonts w:ascii="Arial" w:hAnsi="Arial" w:cs="Arial"/>
          <w:sz w:val="22"/>
          <w:szCs w:val="22"/>
        </w:rPr>
        <w:t xml:space="preserve"> </w:t>
      </w:r>
      <w:r w:rsidR="00301E36">
        <w:rPr>
          <w:rFonts w:ascii="Arial" w:hAnsi="Arial" w:cs="Arial"/>
          <w:sz w:val="22"/>
          <w:szCs w:val="22"/>
        </w:rPr>
        <w:t>2020</w:t>
      </w:r>
    </w:p>
    <w:sectPr w:rsidR="00772F4E" w:rsidSect="00884615">
      <w:headerReference w:type="default" r:id="rId8"/>
      <w:footerReference w:type="default" r:id="rId9"/>
      <w:pgSz w:w="11906" w:h="16838"/>
      <w:pgMar w:top="1134"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19FC" w14:textId="77777777" w:rsidR="004B63A6" w:rsidRDefault="004B63A6" w:rsidP="00814E22">
      <w:r>
        <w:separator/>
      </w:r>
    </w:p>
  </w:endnote>
  <w:endnote w:type="continuationSeparator" w:id="0">
    <w:p w14:paraId="7EA53FEF" w14:textId="77777777" w:rsidR="004B63A6" w:rsidRDefault="004B63A6" w:rsidP="00814E22">
      <w:r>
        <w:continuationSeparator/>
      </w:r>
    </w:p>
  </w:endnote>
  <w:endnote w:type="continuationNotice" w:id="1">
    <w:p w14:paraId="27E0E705" w14:textId="77777777" w:rsidR="004B63A6" w:rsidRDefault="004B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5DE4" w14:textId="6BD92A1F" w:rsidR="00637F6B" w:rsidRPr="000D661C" w:rsidRDefault="00CC5A66">
    <w:pPr>
      <w:pStyle w:val="Fuzeile"/>
    </w:pPr>
    <w:r>
      <w:fldChar w:fldCharType="begin"/>
    </w:r>
    <w:r>
      <w:instrText xml:space="preserve"> TIME \@ "dd.MM.yyyy" </w:instrText>
    </w:r>
    <w:r>
      <w:fldChar w:fldCharType="separate"/>
    </w:r>
    <w:r w:rsidR="00E00570">
      <w:rPr>
        <w:noProof/>
      </w:rPr>
      <w:t>04.01.2021</w:t>
    </w:r>
    <w:r>
      <w:fldChar w:fldCharType="end"/>
    </w:r>
    <w:r>
      <w:ptab w:relativeTo="margin" w:alignment="center" w:leader="none"/>
    </w:r>
    <w:r w:rsidR="005726A8">
      <w:fldChar w:fldCharType="begin"/>
    </w:r>
    <w:r w:rsidR="005726A8" w:rsidRPr="000D661C">
      <w:instrText xml:space="preserve"> FILENAME  \p  \* MERGEFORMAT </w:instrText>
    </w:r>
    <w:r w:rsidR="005726A8">
      <w:fldChar w:fldCharType="separate"/>
    </w:r>
    <w:r w:rsidR="00E00570">
      <w:rPr>
        <w:noProof/>
      </w:rPr>
      <w:t>C:\Users\Marlies\Dropbox\1401 A Tarifordnung2021 neu (003).docx</w:t>
    </w:r>
    <w:r w:rsidR="005726A8">
      <w:rPr>
        <w:noProof/>
      </w:rPr>
      <w:fldChar w:fldCharType="end"/>
    </w:r>
    <w:r>
      <w:ptab w:relativeTo="margin" w:alignment="right" w:leader="none"/>
    </w:r>
    <w:r>
      <w:fldChar w:fldCharType="begin"/>
    </w:r>
    <w:r w:rsidRPr="000D661C">
      <w:instrText xml:space="preserve"> PAGE  \* Arabic  \* MERGEFORMAT </w:instrText>
    </w:r>
    <w:r>
      <w:fldChar w:fldCharType="separate"/>
    </w:r>
    <w:r w:rsidR="00E96C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9FD1F" w14:textId="77777777" w:rsidR="004B63A6" w:rsidRDefault="004B63A6" w:rsidP="00814E22">
      <w:r>
        <w:separator/>
      </w:r>
    </w:p>
  </w:footnote>
  <w:footnote w:type="continuationSeparator" w:id="0">
    <w:p w14:paraId="4D42E28D" w14:textId="77777777" w:rsidR="004B63A6" w:rsidRDefault="004B63A6" w:rsidP="00814E22">
      <w:r>
        <w:continuationSeparator/>
      </w:r>
    </w:p>
  </w:footnote>
  <w:footnote w:type="continuationNotice" w:id="1">
    <w:p w14:paraId="2C73C804" w14:textId="77777777" w:rsidR="004B63A6" w:rsidRDefault="004B6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9" w:type="dxa"/>
      <w:tblInd w:w="250" w:type="dxa"/>
      <w:shd w:val="clear" w:color="auto" w:fill="F2F2F2" w:themeFill="background1" w:themeFillShade="F2"/>
      <w:tblLook w:val="04A0" w:firstRow="1" w:lastRow="0" w:firstColumn="1" w:lastColumn="0" w:noHBand="0" w:noVBand="1"/>
    </w:tblPr>
    <w:tblGrid>
      <w:gridCol w:w="3225"/>
      <w:gridCol w:w="3461"/>
      <w:gridCol w:w="2953"/>
    </w:tblGrid>
    <w:tr w:rsidR="00814E22" w:rsidRPr="00814E22" w14:paraId="3A39B23B" w14:textId="77777777" w:rsidTr="001930C7">
      <w:trPr>
        <w:trHeight w:val="1176"/>
      </w:trPr>
      <w:tc>
        <w:tcPr>
          <w:tcW w:w="3225" w:type="dxa"/>
          <w:shd w:val="clear" w:color="auto" w:fill="F2F2F2" w:themeFill="background1" w:themeFillShade="F2"/>
        </w:tcPr>
        <w:p w14:paraId="764C4A31" w14:textId="77777777" w:rsidR="00814E22" w:rsidRPr="00814E22" w:rsidRDefault="00863613" w:rsidP="00A56ECE">
          <w:pPr>
            <w:pStyle w:val="Kopfzeile"/>
            <w:jc w:val="center"/>
            <w:rPr>
              <w:b/>
            </w:rPr>
          </w:pPr>
          <w:r>
            <w:rPr>
              <w:b/>
              <w:noProof/>
              <w:lang w:eastAsia="de-CH"/>
            </w:rPr>
            <w:drawing>
              <wp:inline distT="0" distB="0" distL="0" distR="0" wp14:anchorId="4F92695C" wp14:editId="3EE0CB2F">
                <wp:extent cx="1218090" cy="93345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Wo Logo 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006" cy="933386"/>
                        </a:xfrm>
                        <a:prstGeom prst="rect">
                          <a:avLst/>
                        </a:prstGeom>
                      </pic:spPr>
                    </pic:pic>
                  </a:graphicData>
                </a:graphic>
              </wp:inline>
            </w:drawing>
          </w:r>
        </w:p>
      </w:tc>
      <w:tc>
        <w:tcPr>
          <w:tcW w:w="3461" w:type="dxa"/>
          <w:shd w:val="clear" w:color="auto" w:fill="F2F2F2" w:themeFill="background1" w:themeFillShade="F2"/>
        </w:tcPr>
        <w:p w14:paraId="67C740F8" w14:textId="77777777" w:rsidR="00814E22" w:rsidRDefault="00814E22">
          <w:pPr>
            <w:pStyle w:val="Kopfzeile"/>
            <w:rPr>
              <w:b/>
            </w:rPr>
          </w:pPr>
        </w:p>
        <w:p w14:paraId="62145E02" w14:textId="77777777" w:rsidR="00814E22" w:rsidRPr="00384EFB" w:rsidRDefault="00814E22" w:rsidP="00384EFB">
          <w:pPr>
            <w:pStyle w:val="Kopfzeile"/>
            <w:rPr>
              <w:b/>
              <w:sz w:val="28"/>
              <w:szCs w:val="28"/>
            </w:rPr>
          </w:pPr>
          <w:r w:rsidRPr="00384EFB">
            <w:rPr>
              <w:b/>
              <w:sz w:val="28"/>
              <w:szCs w:val="28"/>
            </w:rPr>
            <w:t>Qualitätsmanagement Handbuch</w:t>
          </w:r>
        </w:p>
      </w:tc>
      <w:tc>
        <w:tcPr>
          <w:tcW w:w="2953" w:type="dxa"/>
          <w:shd w:val="clear" w:color="auto" w:fill="F2F2F2" w:themeFill="background1" w:themeFillShade="F2"/>
        </w:tcPr>
        <w:p w14:paraId="42674C7E" w14:textId="77777777" w:rsidR="00814E22" w:rsidRPr="00202986" w:rsidRDefault="00814E22">
          <w:pPr>
            <w:pStyle w:val="Kopfzeile"/>
          </w:pPr>
        </w:p>
        <w:p w14:paraId="0FEE487B" w14:textId="77777777" w:rsidR="0024278D" w:rsidRPr="00202986" w:rsidRDefault="0024278D" w:rsidP="0024278D">
          <w:pPr>
            <w:pStyle w:val="Kopfzeile"/>
            <w:rPr>
              <w:sz w:val="24"/>
            </w:rPr>
          </w:pPr>
          <w:r w:rsidRPr="00202986">
            <w:rPr>
              <w:sz w:val="24"/>
            </w:rPr>
            <w:t>Managementprozess</w:t>
          </w:r>
        </w:p>
        <w:p w14:paraId="435F4DD5" w14:textId="77777777" w:rsidR="00814E22" w:rsidRPr="00202986" w:rsidRDefault="00202986" w:rsidP="005726A8">
          <w:pPr>
            <w:pStyle w:val="Kopfzeile"/>
          </w:pPr>
          <w:r w:rsidRPr="00202986">
            <w:t>140</w:t>
          </w:r>
          <w:r w:rsidR="005726A8">
            <w:t>1</w:t>
          </w:r>
        </w:p>
      </w:tc>
    </w:tr>
  </w:tbl>
  <w:p w14:paraId="527750B5" w14:textId="77777777" w:rsidR="00814E22" w:rsidRDefault="00814E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5AE"/>
    <w:multiLevelType w:val="hybridMultilevel"/>
    <w:tmpl w:val="66228F68"/>
    <w:lvl w:ilvl="0" w:tplc="CC405F82">
      <w:numFmt w:val="bullet"/>
      <w:lvlText w:val="-"/>
      <w:lvlJc w:val="left"/>
      <w:pPr>
        <w:ind w:left="502" w:hanging="360"/>
      </w:pPr>
      <w:rPr>
        <w:rFonts w:ascii="Arial" w:eastAsia="Times New Roman" w:hAnsi="Arial" w:cs="Aria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AE527E1"/>
    <w:multiLevelType w:val="hybridMultilevel"/>
    <w:tmpl w:val="43A0D69C"/>
    <w:lvl w:ilvl="0" w:tplc="08070001">
      <w:start w:val="1"/>
      <w:numFmt w:val="bullet"/>
      <w:lvlText w:val=""/>
      <w:lvlJc w:val="left"/>
      <w:pPr>
        <w:ind w:left="862" w:hanging="360"/>
      </w:pPr>
      <w:rPr>
        <w:rFonts w:ascii="Symbol" w:hAnsi="Symbol" w:hint="default"/>
      </w:rPr>
    </w:lvl>
    <w:lvl w:ilvl="1" w:tplc="08070003" w:tentative="1">
      <w:start w:val="1"/>
      <w:numFmt w:val="bullet"/>
      <w:pStyle w:val="berschrift2"/>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15:restartNumberingAfterBreak="0">
    <w:nsid w:val="1FBF2106"/>
    <w:multiLevelType w:val="hybridMultilevel"/>
    <w:tmpl w:val="AD2280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763233"/>
    <w:multiLevelType w:val="hybridMultilevel"/>
    <w:tmpl w:val="31D41F88"/>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4" w15:restartNumberingAfterBreak="0">
    <w:nsid w:val="3FCB2156"/>
    <w:multiLevelType w:val="hybridMultilevel"/>
    <w:tmpl w:val="883E29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7347966"/>
    <w:multiLevelType w:val="hybridMultilevel"/>
    <w:tmpl w:val="098A5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F65B90"/>
    <w:multiLevelType w:val="hybridMultilevel"/>
    <w:tmpl w:val="BCEE83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97D77AD"/>
    <w:multiLevelType w:val="hybridMultilevel"/>
    <w:tmpl w:val="F2EA86D6"/>
    <w:lvl w:ilvl="0" w:tplc="08070001">
      <w:start w:val="1"/>
      <w:numFmt w:val="bullet"/>
      <w:lvlText w:val=""/>
      <w:lvlJc w:val="left"/>
      <w:pPr>
        <w:ind w:left="865" w:hanging="360"/>
      </w:pPr>
      <w:rPr>
        <w:rFonts w:ascii="Symbol" w:hAnsi="Symbol" w:hint="default"/>
      </w:rPr>
    </w:lvl>
    <w:lvl w:ilvl="1" w:tplc="08070003" w:tentative="1">
      <w:start w:val="1"/>
      <w:numFmt w:val="bullet"/>
      <w:lvlText w:val="o"/>
      <w:lvlJc w:val="left"/>
      <w:pPr>
        <w:ind w:left="1585" w:hanging="360"/>
      </w:pPr>
      <w:rPr>
        <w:rFonts w:ascii="Courier New" w:hAnsi="Courier New" w:cs="Courier New" w:hint="default"/>
      </w:rPr>
    </w:lvl>
    <w:lvl w:ilvl="2" w:tplc="08070005" w:tentative="1">
      <w:start w:val="1"/>
      <w:numFmt w:val="bullet"/>
      <w:lvlText w:val=""/>
      <w:lvlJc w:val="left"/>
      <w:pPr>
        <w:ind w:left="2305" w:hanging="360"/>
      </w:pPr>
      <w:rPr>
        <w:rFonts w:ascii="Wingdings" w:hAnsi="Wingdings" w:hint="default"/>
      </w:rPr>
    </w:lvl>
    <w:lvl w:ilvl="3" w:tplc="08070001" w:tentative="1">
      <w:start w:val="1"/>
      <w:numFmt w:val="bullet"/>
      <w:lvlText w:val=""/>
      <w:lvlJc w:val="left"/>
      <w:pPr>
        <w:ind w:left="3025" w:hanging="360"/>
      </w:pPr>
      <w:rPr>
        <w:rFonts w:ascii="Symbol" w:hAnsi="Symbol" w:hint="default"/>
      </w:rPr>
    </w:lvl>
    <w:lvl w:ilvl="4" w:tplc="08070003" w:tentative="1">
      <w:start w:val="1"/>
      <w:numFmt w:val="bullet"/>
      <w:lvlText w:val="o"/>
      <w:lvlJc w:val="left"/>
      <w:pPr>
        <w:ind w:left="3745" w:hanging="360"/>
      </w:pPr>
      <w:rPr>
        <w:rFonts w:ascii="Courier New" w:hAnsi="Courier New" w:cs="Courier New" w:hint="default"/>
      </w:rPr>
    </w:lvl>
    <w:lvl w:ilvl="5" w:tplc="08070005" w:tentative="1">
      <w:start w:val="1"/>
      <w:numFmt w:val="bullet"/>
      <w:lvlText w:val=""/>
      <w:lvlJc w:val="left"/>
      <w:pPr>
        <w:ind w:left="4465" w:hanging="360"/>
      </w:pPr>
      <w:rPr>
        <w:rFonts w:ascii="Wingdings" w:hAnsi="Wingdings" w:hint="default"/>
      </w:rPr>
    </w:lvl>
    <w:lvl w:ilvl="6" w:tplc="08070001" w:tentative="1">
      <w:start w:val="1"/>
      <w:numFmt w:val="bullet"/>
      <w:lvlText w:val=""/>
      <w:lvlJc w:val="left"/>
      <w:pPr>
        <w:ind w:left="5185" w:hanging="360"/>
      </w:pPr>
      <w:rPr>
        <w:rFonts w:ascii="Symbol" w:hAnsi="Symbol" w:hint="default"/>
      </w:rPr>
    </w:lvl>
    <w:lvl w:ilvl="7" w:tplc="08070003" w:tentative="1">
      <w:start w:val="1"/>
      <w:numFmt w:val="bullet"/>
      <w:lvlText w:val="o"/>
      <w:lvlJc w:val="left"/>
      <w:pPr>
        <w:ind w:left="5905" w:hanging="360"/>
      </w:pPr>
      <w:rPr>
        <w:rFonts w:ascii="Courier New" w:hAnsi="Courier New" w:cs="Courier New" w:hint="default"/>
      </w:rPr>
    </w:lvl>
    <w:lvl w:ilvl="8" w:tplc="08070005" w:tentative="1">
      <w:start w:val="1"/>
      <w:numFmt w:val="bullet"/>
      <w:lvlText w:val=""/>
      <w:lvlJc w:val="left"/>
      <w:pPr>
        <w:ind w:left="6625" w:hanging="360"/>
      </w:pPr>
      <w:rPr>
        <w:rFonts w:ascii="Wingdings" w:hAnsi="Wingdings" w:hint="default"/>
      </w:rPr>
    </w:lvl>
  </w:abstractNum>
  <w:abstractNum w:abstractNumId="8" w15:restartNumberingAfterBreak="0">
    <w:nsid w:val="7CFC1A4B"/>
    <w:multiLevelType w:val="hybridMultilevel"/>
    <w:tmpl w:val="E1FAEDD4"/>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22"/>
    <w:rsid w:val="00024707"/>
    <w:rsid w:val="00032108"/>
    <w:rsid w:val="00050FC8"/>
    <w:rsid w:val="00054239"/>
    <w:rsid w:val="0007341F"/>
    <w:rsid w:val="0007776E"/>
    <w:rsid w:val="000D3E50"/>
    <w:rsid w:val="000D661C"/>
    <w:rsid w:val="000F7156"/>
    <w:rsid w:val="0012757B"/>
    <w:rsid w:val="00173F5F"/>
    <w:rsid w:val="00175A76"/>
    <w:rsid w:val="00180A17"/>
    <w:rsid w:val="001930C7"/>
    <w:rsid w:val="001C25B8"/>
    <w:rsid w:val="00202986"/>
    <w:rsid w:val="00203574"/>
    <w:rsid w:val="002067B9"/>
    <w:rsid w:val="00241DC5"/>
    <w:rsid w:val="0024278D"/>
    <w:rsid w:val="00244BD3"/>
    <w:rsid w:val="00290F16"/>
    <w:rsid w:val="002B797B"/>
    <w:rsid w:val="002E09AA"/>
    <w:rsid w:val="00301E36"/>
    <w:rsid w:val="0030749B"/>
    <w:rsid w:val="00334013"/>
    <w:rsid w:val="00344811"/>
    <w:rsid w:val="00344DA2"/>
    <w:rsid w:val="00374666"/>
    <w:rsid w:val="003817D4"/>
    <w:rsid w:val="00383B69"/>
    <w:rsid w:val="00384EFB"/>
    <w:rsid w:val="00385963"/>
    <w:rsid w:val="00386E49"/>
    <w:rsid w:val="003900DB"/>
    <w:rsid w:val="00391469"/>
    <w:rsid w:val="003C23D9"/>
    <w:rsid w:val="00405235"/>
    <w:rsid w:val="0041461D"/>
    <w:rsid w:val="00421C40"/>
    <w:rsid w:val="004425AE"/>
    <w:rsid w:val="004B63A6"/>
    <w:rsid w:val="0053567B"/>
    <w:rsid w:val="00562651"/>
    <w:rsid w:val="005644A2"/>
    <w:rsid w:val="005726A8"/>
    <w:rsid w:val="005A7370"/>
    <w:rsid w:val="005B33B9"/>
    <w:rsid w:val="005C49C2"/>
    <w:rsid w:val="00607566"/>
    <w:rsid w:val="00637AF9"/>
    <w:rsid w:val="00637F6B"/>
    <w:rsid w:val="0065344D"/>
    <w:rsid w:val="006554EE"/>
    <w:rsid w:val="00670FC1"/>
    <w:rsid w:val="00672160"/>
    <w:rsid w:val="006A303D"/>
    <w:rsid w:val="006B7A71"/>
    <w:rsid w:val="006E40E0"/>
    <w:rsid w:val="006F4061"/>
    <w:rsid w:val="006F5887"/>
    <w:rsid w:val="00746B0A"/>
    <w:rsid w:val="00772F4E"/>
    <w:rsid w:val="007C11ED"/>
    <w:rsid w:val="008107BB"/>
    <w:rsid w:val="00812D76"/>
    <w:rsid w:val="00812E62"/>
    <w:rsid w:val="00814E22"/>
    <w:rsid w:val="00833C54"/>
    <w:rsid w:val="00863613"/>
    <w:rsid w:val="008746F4"/>
    <w:rsid w:val="00884615"/>
    <w:rsid w:val="00887C5B"/>
    <w:rsid w:val="008A49F0"/>
    <w:rsid w:val="008A799A"/>
    <w:rsid w:val="008B1BAC"/>
    <w:rsid w:val="008B7991"/>
    <w:rsid w:val="0090292B"/>
    <w:rsid w:val="00904188"/>
    <w:rsid w:val="00963C6B"/>
    <w:rsid w:val="009B00D7"/>
    <w:rsid w:val="00A255FB"/>
    <w:rsid w:val="00A258C6"/>
    <w:rsid w:val="00A336E3"/>
    <w:rsid w:val="00A42175"/>
    <w:rsid w:val="00A56ECE"/>
    <w:rsid w:val="00AB3699"/>
    <w:rsid w:val="00B44900"/>
    <w:rsid w:val="00B87881"/>
    <w:rsid w:val="00B965ED"/>
    <w:rsid w:val="00BC1C88"/>
    <w:rsid w:val="00BC45D6"/>
    <w:rsid w:val="00BE604A"/>
    <w:rsid w:val="00C23131"/>
    <w:rsid w:val="00CB2371"/>
    <w:rsid w:val="00CC4FB6"/>
    <w:rsid w:val="00CC5A66"/>
    <w:rsid w:val="00D15B98"/>
    <w:rsid w:val="00D23FB3"/>
    <w:rsid w:val="00D404DB"/>
    <w:rsid w:val="00D61323"/>
    <w:rsid w:val="00D91577"/>
    <w:rsid w:val="00E00570"/>
    <w:rsid w:val="00E0232E"/>
    <w:rsid w:val="00E05195"/>
    <w:rsid w:val="00E50632"/>
    <w:rsid w:val="00E803BD"/>
    <w:rsid w:val="00E80C84"/>
    <w:rsid w:val="00E96CE7"/>
    <w:rsid w:val="00EA5F09"/>
    <w:rsid w:val="00EC6CDC"/>
    <w:rsid w:val="00F15BD0"/>
    <w:rsid w:val="00F36E98"/>
    <w:rsid w:val="00F3753B"/>
    <w:rsid w:val="00F707E8"/>
    <w:rsid w:val="00FB7BF1"/>
    <w:rsid w:val="00FD1AC0"/>
    <w:rsid w:val="00FF7BF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26237"/>
  <w15:docId w15:val="{7B9944AD-730B-404D-BB40-FD1114F4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239"/>
    <w:pPr>
      <w:spacing w:after="0" w:line="240" w:lineRule="auto"/>
    </w:pPr>
    <w:rPr>
      <w:rFonts w:ascii="Garamond" w:eastAsia="Times New Roman" w:hAnsi="Garamond" w:cs="Times New Roman"/>
      <w:sz w:val="16"/>
      <w:szCs w:val="20"/>
      <w:lang w:val="de-DE"/>
    </w:rPr>
  </w:style>
  <w:style w:type="paragraph" w:styleId="berschrift2">
    <w:name w:val="heading 2"/>
    <w:basedOn w:val="Standard"/>
    <w:next w:val="Standard"/>
    <w:link w:val="berschrift2Zchn"/>
    <w:uiPriority w:val="9"/>
    <w:qFormat/>
    <w:rsid w:val="00FB7BF1"/>
    <w:pPr>
      <w:keepNext/>
      <w:keepLines/>
      <w:numPr>
        <w:ilvl w:val="1"/>
        <w:numId w:val="4"/>
      </w:numPr>
      <w:spacing w:before="240" w:after="60"/>
      <w:ind w:left="0" w:firstLine="0"/>
      <w:outlineLvl w:val="1"/>
    </w:pPr>
    <w:rPr>
      <w:rFonts w:ascii="Arial" w:hAnsi="Arial" w:cs="Arial"/>
      <w:b/>
      <w:bCs/>
      <w:iCs/>
      <w:kern w:val="10"/>
      <w:sz w:val="24"/>
      <w:szCs w:val="2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E22"/>
    <w:pPr>
      <w:tabs>
        <w:tab w:val="center" w:pos="4536"/>
        <w:tab w:val="right" w:pos="9072"/>
      </w:tabs>
    </w:pPr>
    <w:rPr>
      <w:rFonts w:asciiTheme="minorHAnsi" w:eastAsiaTheme="minorHAnsi" w:hAnsiTheme="minorHAnsi" w:cstheme="minorBidi"/>
      <w:sz w:val="22"/>
      <w:szCs w:val="22"/>
      <w:lang w:val="de-CH"/>
    </w:rPr>
  </w:style>
  <w:style w:type="character" w:customStyle="1" w:styleId="KopfzeileZchn">
    <w:name w:val="Kopfzeile Zchn"/>
    <w:basedOn w:val="Absatz-Standardschriftart"/>
    <w:link w:val="Kopfzeile"/>
    <w:uiPriority w:val="99"/>
    <w:rsid w:val="00814E22"/>
  </w:style>
  <w:style w:type="paragraph" w:styleId="Fuzeile">
    <w:name w:val="footer"/>
    <w:basedOn w:val="Standard"/>
    <w:link w:val="FuzeileZchn"/>
    <w:uiPriority w:val="99"/>
    <w:unhideWhenUsed/>
    <w:rsid w:val="00814E22"/>
    <w:pPr>
      <w:tabs>
        <w:tab w:val="center" w:pos="4536"/>
        <w:tab w:val="right" w:pos="9072"/>
      </w:tabs>
    </w:pPr>
    <w:rPr>
      <w:rFonts w:asciiTheme="minorHAnsi" w:eastAsiaTheme="minorHAnsi" w:hAnsiTheme="minorHAnsi" w:cstheme="minorBidi"/>
      <w:sz w:val="22"/>
      <w:szCs w:val="22"/>
      <w:lang w:val="de-CH"/>
    </w:rPr>
  </w:style>
  <w:style w:type="character" w:customStyle="1" w:styleId="FuzeileZchn">
    <w:name w:val="Fußzeile Zchn"/>
    <w:basedOn w:val="Absatz-Standardschriftart"/>
    <w:link w:val="Fuzeile"/>
    <w:uiPriority w:val="99"/>
    <w:rsid w:val="00814E22"/>
  </w:style>
  <w:style w:type="paragraph" w:styleId="Sprechblasentext">
    <w:name w:val="Balloon Text"/>
    <w:basedOn w:val="Standard"/>
    <w:link w:val="SprechblasentextZchn"/>
    <w:uiPriority w:val="99"/>
    <w:semiHidden/>
    <w:unhideWhenUsed/>
    <w:rsid w:val="00814E22"/>
    <w:rPr>
      <w:rFonts w:ascii="Tahoma" w:eastAsiaTheme="minorHAnsi" w:hAnsi="Tahoma" w:cs="Tahoma"/>
      <w:szCs w:val="16"/>
      <w:lang w:val="de-CH"/>
    </w:rPr>
  </w:style>
  <w:style w:type="character" w:customStyle="1" w:styleId="SprechblasentextZchn">
    <w:name w:val="Sprechblasentext Zchn"/>
    <w:basedOn w:val="Absatz-Standardschriftart"/>
    <w:link w:val="Sprechblasentext"/>
    <w:uiPriority w:val="99"/>
    <w:semiHidden/>
    <w:rsid w:val="00814E22"/>
    <w:rPr>
      <w:rFonts w:ascii="Tahoma" w:hAnsi="Tahoma" w:cs="Tahoma"/>
      <w:sz w:val="16"/>
      <w:szCs w:val="16"/>
    </w:rPr>
  </w:style>
  <w:style w:type="table" w:styleId="Tabellenraster">
    <w:name w:val="Table Grid"/>
    <w:basedOn w:val="NormaleTabelle"/>
    <w:uiPriority w:val="59"/>
    <w:rsid w:val="0081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unhideWhenUsed/>
    <w:rsid w:val="00054239"/>
    <w:pPr>
      <w:spacing w:after="240"/>
      <w:jc w:val="both"/>
    </w:pPr>
    <w:rPr>
      <w:spacing w:val="-5"/>
      <w:sz w:val="24"/>
    </w:rPr>
  </w:style>
  <w:style w:type="character" w:customStyle="1" w:styleId="TextkrperZchn">
    <w:name w:val="Textkörper Zchn"/>
    <w:basedOn w:val="Absatz-Standardschriftart"/>
    <w:link w:val="Textkrper"/>
    <w:semiHidden/>
    <w:rsid w:val="00054239"/>
    <w:rPr>
      <w:rFonts w:ascii="Garamond" w:eastAsia="Times New Roman" w:hAnsi="Garamond" w:cs="Times New Roman"/>
      <w:spacing w:val="-5"/>
      <w:sz w:val="24"/>
      <w:szCs w:val="20"/>
      <w:lang w:val="de-DE"/>
    </w:rPr>
  </w:style>
  <w:style w:type="paragraph" w:styleId="Titel">
    <w:name w:val="Title"/>
    <w:basedOn w:val="Standard"/>
    <w:next w:val="Standard"/>
    <w:link w:val="TitelZchn"/>
    <w:uiPriority w:val="10"/>
    <w:qFormat/>
    <w:rsid w:val="00244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44BD3"/>
    <w:rPr>
      <w:rFonts w:asciiTheme="majorHAnsi" w:eastAsiaTheme="majorEastAsia" w:hAnsiTheme="majorHAnsi" w:cstheme="majorBidi"/>
      <w:color w:val="17365D" w:themeColor="text2" w:themeShade="BF"/>
      <w:spacing w:val="5"/>
      <w:kern w:val="28"/>
      <w:sz w:val="52"/>
      <w:szCs w:val="52"/>
      <w:lang w:val="de-DE"/>
    </w:rPr>
  </w:style>
  <w:style w:type="character" w:styleId="Buchtitel">
    <w:name w:val="Book Title"/>
    <w:basedOn w:val="Absatz-Standardschriftart"/>
    <w:uiPriority w:val="33"/>
    <w:qFormat/>
    <w:rsid w:val="00244BD3"/>
    <w:rPr>
      <w:b/>
      <w:bCs/>
      <w:smallCaps/>
      <w:spacing w:val="5"/>
    </w:rPr>
  </w:style>
  <w:style w:type="paragraph" w:styleId="Listenabsatz">
    <w:name w:val="List Paragraph"/>
    <w:basedOn w:val="Standard"/>
    <w:uiPriority w:val="34"/>
    <w:qFormat/>
    <w:rsid w:val="008B7991"/>
    <w:pPr>
      <w:ind w:left="720"/>
      <w:contextualSpacing/>
    </w:pPr>
  </w:style>
  <w:style w:type="character" w:customStyle="1" w:styleId="number">
    <w:name w:val="number"/>
    <w:basedOn w:val="Absatz-Standardschriftart"/>
    <w:rsid w:val="00241DC5"/>
  </w:style>
  <w:style w:type="character" w:customStyle="1" w:styleId="titletext">
    <w:name w:val="title_text"/>
    <w:basedOn w:val="Absatz-Standardschriftart"/>
    <w:rsid w:val="00241DC5"/>
  </w:style>
  <w:style w:type="character" w:customStyle="1" w:styleId="articlesymbol">
    <w:name w:val="article_symbol"/>
    <w:basedOn w:val="Absatz-Standardschriftart"/>
    <w:rsid w:val="00241DC5"/>
  </w:style>
  <w:style w:type="character" w:styleId="Fett">
    <w:name w:val="Strong"/>
    <w:basedOn w:val="Absatz-Standardschriftart"/>
    <w:uiPriority w:val="22"/>
    <w:qFormat/>
    <w:rsid w:val="00241DC5"/>
    <w:rPr>
      <w:b/>
      <w:bCs/>
    </w:rPr>
  </w:style>
  <w:style w:type="paragraph" w:styleId="StandardWeb">
    <w:name w:val="Normal (Web)"/>
    <w:basedOn w:val="Standard"/>
    <w:uiPriority w:val="99"/>
    <w:semiHidden/>
    <w:unhideWhenUsed/>
    <w:rsid w:val="00241DC5"/>
    <w:pPr>
      <w:spacing w:before="100" w:beforeAutospacing="1" w:after="100" w:afterAutospacing="1"/>
    </w:pPr>
    <w:rPr>
      <w:rFonts w:ascii="Times New Roman" w:hAnsi="Times New Roman"/>
      <w:sz w:val="24"/>
      <w:szCs w:val="24"/>
      <w:lang w:val="de-CH" w:eastAsia="de-CH"/>
    </w:rPr>
  </w:style>
  <w:style w:type="character" w:customStyle="1" w:styleId="textcontent">
    <w:name w:val="text_content"/>
    <w:basedOn w:val="Absatz-Standardschriftart"/>
    <w:rsid w:val="00241DC5"/>
  </w:style>
  <w:style w:type="table" w:customStyle="1" w:styleId="Tabellenraster1">
    <w:name w:val="Tabellenraster1"/>
    <w:basedOn w:val="NormaleTabelle"/>
    <w:next w:val="Tabellenraster"/>
    <w:uiPriority w:val="39"/>
    <w:rsid w:val="00FB7BF1"/>
    <w:pPr>
      <w:spacing w:after="0" w:line="240" w:lineRule="auto"/>
    </w:pPr>
    <w:rPr>
      <w:rFonts w:ascii="Arial" w:eastAsia="Times New Roman" w:hAnsi="Arial"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B7BF1"/>
    <w:rPr>
      <w:rFonts w:ascii="Arial" w:eastAsia="Times New Roman" w:hAnsi="Arial" w:cs="Arial"/>
      <w:b/>
      <w:bCs/>
      <w:iCs/>
      <w:kern w:val="10"/>
      <w:sz w:val="24"/>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75784">
      <w:bodyDiv w:val="1"/>
      <w:marLeft w:val="0"/>
      <w:marRight w:val="0"/>
      <w:marTop w:val="0"/>
      <w:marBottom w:val="0"/>
      <w:divBdr>
        <w:top w:val="none" w:sz="0" w:space="0" w:color="auto"/>
        <w:left w:val="none" w:sz="0" w:space="0" w:color="auto"/>
        <w:bottom w:val="none" w:sz="0" w:space="0" w:color="auto"/>
        <w:right w:val="none" w:sz="0" w:space="0" w:color="auto"/>
      </w:divBdr>
      <w:divsChild>
        <w:div w:id="1056469655">
          <w:marLeft w:val="0"/>
          <w:marRight w:val="0"/>
          <w:marTop w:val="0"/>
          <w:marBottom w:val="0"/>
          <w:divBdr>
            <w:top w:val="none" w:sz="0" w:space="0" w:color="auto"/>
            <w:left w:val="none" w:sz="0" w:space="0" w:color="auto"/>
            <w:bottom w:val="none" w:sz="0" w:space="0" w:color="auto"/>
            <w:right w:val="none" w:sz="0" w:space="0" w:color="auto"/>
          </w:divBdr>
        </w:div>
        <w:div w:id="874467168">
          <w:marLeft w:val="900"/>
          <w:marRight w:val="0"/>
          <w:marTop w:val="0"/>
          <w:marBottom w:val="0"/>
          <w:divBdr>
            <w:top w:val="none" w:sz="0" w:space="0" w:color="auto"/>
            <w:left w:val="none" w:sz="0" w:space="0" w:color="auto"/>
            <w:bottom w:val="none" w:sz="0" w:space="0" w:color="auto"/>
            <w:right w:val="none" w:sz="0" w:space="0" w:color="auto"/>
          </w:divBdr>
        </w:div>
        <w:div w:id="597834001">
          <w:marLeft w:val="0"/>
          <w:marRight w:val="0"/>
          <w:marTop w:val="6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4E02-5652-46D6-A160-8C38F1FA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alle MA</cp:lastModifiedBy>
  <cp:revision>2</cp:revision>
  <cp:lastPrinted>2021-01-04T11:07:00Z</cp:lastPrinted>
  <dcterms:created xsi:type="dcterms:W3CDTF">2021-01-04T11:09:00Z</dcterms:created>
  <dcterms:modified xsi:type="dcterms:W3CDTF">2021-01-04T11:09:00Z</dcterms:modified>
</cp:coreProperties>
</file>